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黑体" w:eastAsia="方正小标宋_GBK" w:cs="黑体"/>
          <w:color w:val="auto"/>
          <w:sz w:val="44"/>
          <w:szCs w:val="44"/>
        </w:rPr>
      </w:pPr>
      <w:bookmarkStart w:id="0" w:name="_GoBack"/>
      <w:bookmarkEnd w:id="0"/>
      <w:r>
        <w:rPr>
          <w:rFonts w:hint="eastAsia" w:ascii="方正小标宋_GBK" w:hAnsi="黑体" w:eastAsia="方正小标宋_GBK" w:cs="黑体"/>
          <w:color w:val="auto"/>
          <w:sz w:val="44"/>
          <w:szCs w:val="44"/>
        </w:rPr>
        <w:t>海南省城乡居民基本医疗保险普通门诊</w:t>
      </w:r>
      <w:r>
        <w:rPr>
          <w:rFonts w:hint="eastAsia" w:ascii="方正小标宋_GBK" w:hAnsi="黑体" w:eastAsia="方正小标宋_GBK" w:cs="黑体"/>
          <w:color w:val="auto"/>
          <w:sz w:val="44"/>
          <w:szCs w:val="44"/>
          <w:lang w:eastAsia="zh-CN"/>
        </w:rPr>
        <w:t>共济保障</w:t>
      </w:r>
      <w:r>
        <w:rPr>
          <w:rFonts w:hint="eastAsia" w:ascii="方正小标宋_GBK" w:hAnsi="黑体" w:eastAsia="方正小标宋_GBK" w:cs="黑体"/>
          <w:color w:val="auto"/>
          <w:sz w:val="44"/>
          <w:szCs w:val="44"/>
        </w:rPr>
        <w:t>管理办法（</w:t>
      </w:r>
      <w:r>
        <w:rPr>
          <w:rFonts w:hint="eastAsia" w:ascii="方正小标宋_GBK" w:hAnsi="黑体" w:eastAsia="方正小标宋_GBK" w:cs="黑体"/>
          <w:color w:val="auto"/>
          <w:sz w:val="44"/>
          <w:szCs w:val="44"/>
          <w:lang w:eastAsia="zh-CN"/>
        </w:rPr>
        <w:t>征求意见稿</w:t>
      </w:r>
      <w:r>
        <w:rPr>
          <w:rFonts w:hint="eastAsia" w:ascii="方正小标宋_GBK" w:hAnsi="黑体" w:eastAsia="方正小标宋_GBK" w:cs="黑体"/>
          <w:color w:val="auto"/>
          <w:sz w:val="44"/>
          <w:szCs w:val="44"/>
        </w:rPr>
        <w:t>）</w:t>
      </w:r>
    </w:p>
    <w:p>
      <w:pPr>
        <w:jc w:val="center"/>
        <w:rPr>
          <w:rFonts w:ascii="仿宋_GB2312" w:hAnsi="仿宋_GB2312" w:cs="仿宋_GB2312"/>
          <w:color w:val="auto"/>
        </w:rPr>
      </w:pPr>
    </w:p>
    <w:p>
      <w:pPr>
        <w:pStyle w:val="7"/>
        <w:numPr>
          <w:ilvl w:val="0"/>
          <w:numId w:val="0"/>
        </w:numPr>
        <w:spacing w:line="560" w:lineRule="exact"/>
        <w:jc w:val="center"/>
        <w:rPr>
          <w:rFonts w:hint="eastAsia" w:ascii="黑体" w:hAnsi="黑体" w:eastAsia="黑体" w:cs="黑体"/>
          <w:b/>
          <w:bCs/>
          <w:color w:val="auto"/>
          <w:sz w:val="32"/>
          <w:szCs w:val="32"/>
        </w:rPr>
      </w:pPr>
      <w:r>
        <w:rPr>
          <w:rFonts w:hint="eastAsia" w:ascii="黑体" w:hAnsi="黑体" w:eastAsia="黑体" w:cs="黑体"/>
          <w:b w:val="0"/>
          <w:bCs w:val="0"/>
          <w:color w:val="auto"/>
          <w:sz w:val="32"/>
          <w:szCs w:val="32"/>
          <w:lang w:eastAsia="zh-CN"/>
        </w:rPr>
        <w:t>第一章</w:t>
      </w:r>
      <w:r>
        <w:rPr>
          <w:rFonts w:hint="eastAsia" w:ascii="黑体" w:hAnsi="黑体" w:eastAsia="黑体" w:cs="黑体"/>
          <w:b/>
          <w:bCs/>
          <w:color w:val="auto"/>
          <w:sz w:val="32"/>
          <w:szCs w:val="32"/>
        </w:rPr>
        <w:t xml:space="preserve"> </w:t>
      </w:r>
      <w:r>
        <w:rPr>
          <w:rFonts w:hint="eastAsia" w:ascii="黑体" w:hAnsi="黑体" w:eastAsia="黑体" w:cs="黑体"/>
          <w:color w:val="auto"/>
          <w:sz w:val="32"/>
          <w:szCs w:val="32"/>
        </w:rPr>
        <w:t>总 则</w:t>
      </w:r>
    </w:p>
    <w:p>
      <w:pPr>
        <w:spacing w:line="560" w:lineRule="exact"/>
        <w:jc w:val="center"/>
        <w:rPr>
          <w:rFonts w:ascii="仿宋_GB2312" w:hAnsi="仿宋_GB2312" w:cs="仿宋_GB2312"/>
          <w:color w:val="auto"/>
        </w:rPr>
      </w:pP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第一条</w:t>
      </w:r>
      <w:r>
        <w:rPr>
          <w:rFonts w:hint="eastAsia" w:ascii="仿宋_GB2312" w:hAnsi="仿宋_GB2312" w:cs="仿宋_GB2312"/>
          <w:color w:val="auto"/>
        </w:rPr>
        <w:t xml:space="preserve"> 为进一步完善我省城乡居民基本医疗保险制度，减轻城乡居民普通门诊医疗费用负担，依据《海南省城乡居民基本医疗保险</w:t>
      </w:r>
      <w:r>
        <w:rPr>
          <w:rFonts w:hint="eastAsia" w:ascii="仿宋_GB2312" w:hAnsi="仿宋_GB2312" w:cs="仿宋_GB2312"/>
          <w:color w:val="auto"/>
          <w:lang w:eastAsia="zh-CN"/>
        </w:rPr>
        <w:t>实施</w:t>
      </w:r>
      <w:r>
        <w:rPr>
          <w:rFonts w:hint="eastAsia" w:ascii="仿宋_GB2312" w:hAnsi="仿宋_GB2312" w:cs="仿宋_GB2312"/>
          <w:color w:val="auto"/>
        </w:rPr>
        <w:t>办法》（琼</w:t>
      </w:r>
      <w:r>
        <w:rPr>
          <w:rFonts w:hint="eastAsia" w:ascii="仿宋_GB2312" w:hAnsi="仿宋_GB2312" w:cs="仿宋_GB2312"/>
          <w:color w:val="auto"/>
          <w:lang w:eastAsia="zh-CN"/>
        </w:rPr>
        <w:t>　</w:t>
      </w:r>
      <w:r>
        <w:rPr>
          <w:rFonts w:hint="eastAsia" w:ascii="仿宋_GB2312" w:hAnsi="仿宋_GB2312" w:cs="仿宋_GB2312"/>
          <w:color w:val="auto"/>
        </w:rPr>
        <w:t>〔</w:t>
      </w:r>
      <w:r>
        <w:rPr>
          <w:rFonts w:hint="eastAsia" w:ascii="仿宋_GB2312" w:hAnsi="仿宋_GB2312" w:cs="仿宋_GB2312"/>
          <w:color w:val="auto"/>
          <w:lang w:eastAsia="zh-CN"/>
        </w:rPr>
        <w:t>２０２２</w:t>
      </w:r>
      <w:r>
        <w:rPr>
          <w:rFonts w:hint="eastAsia" w:ascii="仿宋_GB2312" w:hAnsi="仿宋_GB2312" w:cs="仿宋_GB2312"/>
          <w:color w:val="auto"/>
        </w:rPr>
        <w:t>〕号）</w:t>
      </w:r>
      <w:r>
        <w:rPr>
          <w:rFonts w:hint="eastAsia" w:ascii="仿宋_GB2312" w:hAnsi="仿宋_GB2312" w:cs="仿宋_GB2312"/>
          <w:color w:val="auto"/>
          <w:lang w:eastAsia="zh-CN"/>
        </w:rPr>
        <w:t>等文件精神</w:t>
      </w:r>
      <w:r>
        <w:rPr>
          <w:rFonts w:hint="eastAsia" w:ascii="仿宋_GB2312" w:hAnsi="仿宋_GB2312" w:cs="仿宋_GB2312"/>
          <w:color w:val="auto"/>
        </w:rPr>
        <w:t>，结合我省实际，制定本办法。</w:t>
      </w: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 xml:space="preserve">第二条 </w:t>
      </w:r>
      <w:r>
        <w:rPr>
          <w:rFonts w:hint="eastAsia" w:ascii="仿宋_GB2312" w:hAnsi="仿宋_GB2312" w:cs="仿宋_GB2312"/>
          <w:color w:val="auto"/>
        </w:rPr>
        <w:t>本办法适用于我省城乡居民基本医疗保险的</w:t>
      </w:r>
      <w:r>
        <w:rPr>
          <w:rFonts w:hint="eastAsia" w:ascii="仿宋_GB2312" w:hAnsi="仿宋_GB2312" w:cs="仿宋_GB2312"/>
          <w:color w:val="auto"/>
          <w:lang w:eastAsia="zh-CN"/>
        </w:rPr>
        <w:t>参保人员</w:t>
      </w:r>
      <w:r>
        <w:rPr>
          <w:rFonts w:hint="eastAsia" w:ascii="仿宋_GB2312" w:hAnsi="仿宋_GB2312" w:cs="仿宋_GB2312"/>
          <w:color w:val="auto"/>
        </w:rPr>
        <w:t>。</w:t>
      </w: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第三条</w:t>
      </w:r>
      <w:r>
        <w:rPr>
          <w:rFonts w:hint="eastAsia" w:ascii="仿宋_GB2312" w:hAnsi="仿宋_GB2312" w:cs="仿宋_GB2312"/>
          <w:color w:val="auto"/>
        </w:rPr>
        <w:t xml:space="preserve"> 城乡居民基本医疗保险</w:t>
      </w:r>
      <w:r>
        <w:rPr>
          <w:rFonts w:hint="eastAsia" w:ascii="仿宋_GB2312" w:hAnsi="仿宋_GB2312" w:cs="仿宋_GB2312"/>
          <w:color w:val="auto"/>
          <w:lang w:eastAsia="zh-CN"/>
        </w:rPr>
        <w:t>普通</w:t>
      </w:r>
      <w:r>
        <w:rPr>
          <w:rFonts w:hint="eastAsia" w:ascii="仿宋_GB2312" w:hAnsi="仿宋_GB2312" w:cs="仿宋_GB2312"/>
          <w:color w:val="auto"/>
        </w:rPr>
        <w:t>门诊坚持统筹共济，保障基本；坚持以基层定点医疗机构为依托，支持基层医疗卫生机构能力发展；坚持门诊医疗费用分担机制，提高基本医疗保险基金的使用效率。</w:t>
      </w:r>
    </w:p>
    <w:p>
      <w:pPr>
        <w:spacing w:line="560" w:lineRule="exact"/>
        <w:ind w:firstLine="643" w:firstLineChars="200"/>
        <w:rPr>
          <w:rFonts w:hint="eastAsia" w:ascii="仿宋_GB2312" w:hAnsi="仿宋_GB2312" w:cs="仿宋_GB2312"/>
          <w:color w:val="auto"/>
          <w:lang w:eastAsia="zh-CN"/>
        </w:rPr>
      </w:pPr>
      <w:r>
        <w:rPr>
          <w:rFonts w:hint="eastAsia" w:ascii="仿宋_GB2312" w:hAnsi="仿宋_GB2312" w:cs="仿宋_GB2312"/>
          <w:b/>
          <w:bCs/>
          <w:color w:val="auto"/>
        </w:rPr>
        <w:t>第四条</w:t>
      </w:r>
      <w:r>
        <w:rPr>
          <w:rFonts w:hint="eastAsia" w:ascii="仿宋_GB2312" w:hAnsi="仿宋_GB2312" w:cs="仿宋_GB2312"/>
          <w:color w:val="auto"/>
        </w:rPr>
        <w:t xml:space="preserve"> 省医疗保障</w:t>
      </w:r>
      <w:r>
        <w:rPr>
          <w:rFonts w:hint="eastAsia" w:ascii="仿宋_GB2312" w:hAnsi="仿宋_GB2312" w:cs="仿宋_GB2312"/>
          <w:color w:val="auto"/>
          <w:lang w:eastAsia="zh-CN"/>
        </w:rPr>
        <w:t>行政部门</w:t>
      </w:r>
      <w:r>
        <w:rPr>
          <w:rFonts w:hint="eastAsia" w:ascii="仿宋_GB2312" w:hAnsi="仿宋_GB2312" w:cs="仿宋_GB2312"/>
          <w:color w:val="auto"/>
        </w:rPr>
        <w:t>负责普通门诊统筹相关政策的制定和信息化建设，并根据基本医疗保险统筹基金运行和参保居民门诊医疗费用负担情况，对普通门诊待遇标准进行动态调整。</w:t>
      </w:r>
      <w:r>
        <w:rPr>
          <w:rFonts w:hint="default" w:ascii="Times New Roman" w:hAnsi="Times New Roman" w:cs="Times New Roman"/>
          <w:i w:val="0"/>
          <w:caps w:val="0"/>
          <w:color w:val="auto"/>
          <w:spacing w:val="0"/>
          <w:sz w:val="32"/>
          <w:szCs w:val="32"/>
        </w:rPr>
        <w:t>各级医疗保障行政部门</w:t>
      </w:r>
      <w:r>
        <w:rPr>
          <w:rFonts w:hint="eastAsia" w:cs="Times New Roman"/>
          <w:i w:val="0"/>
          <w:caps w:val="0"/>
          <w:color w:val="auto"/>
          <w:spacing w:val="0"/>
          <w:sz w:val="32"/>
          <w:szCs w:val="32"/>
          <w:lang w:eastAsia="zh-CN"/>
        </w:rPr>
        <w:t>负责城乡居民</w:t>
      </w:r>
      <w:r>
        <w:rPr>
          <w:rFonts w:hint="default" w:ascii="Times New Roman" w:hAnsi="Times New Roman" w:cs="Times New Roman"/>
          <w:i w:val="0"/>
          <w:caps w:val="0"/>
          <w:color w:val="auto"/>
          <w:spacing w:val="0"/>
          <w:sz w:val="32"/>
          <w:szCs w:val="32"/>
        </w:rPr>
        <w:t>普通门诊</w:t>
      </w:r>
      <w:r>
        <w:rPr>
          <w:rFonts w:hint="eastAsia" w:cs="Times New Roman"/>
          <w:i w:val="0"/>
          <w:caps w:val="0"/>
          <w:color w:val="auto"/>
          <w:spacing w:val="0"/>
          <w:sz w:val="32"/>
          <w:szCs w:val="32"/>
          <w:lang w:eastAsia="zh-CN"/>
        </w:rPr>
        <w:t>的</w:t>
      </w:r>
      <w:r>
        <w:rPr>
          <w:rFonts w:hint="eastAsia" w:ascii="仿宋_GB2312" w:hAnsi="仿宋_GB2312" w:cs="仿宋_GB2312"/>
          <w:color w:val="auto"/>
        </w:rPr>
        <w:t>监督</w:t>
      </w:r>
      <w:r>
        <w:rPr>
          <w:rFonts w:hint="eastAsia" w:ascii="仿宋_GB2312" w:hAnsi="仿宋_GB2312" w:cs="仿宋_GB2312"/>
          <w:color w:val="auto"/>
          <w:lang w:eastAsia="zh-CN"/>
        </w:rPr>
        <w:t>管理。</w:t>
      </w: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第五条</w:t>
      </w:r>
      <w:r>
        <w:rPr>
          <w:rFonts w:hint="eastAsia" w:ascii="仿宋_GB2312" w:hAnsi="仿宋_GB2312" w:cs="仿宋_GB2312"/>
          <w:color w:val="auto"/>
        </w:rPr>
        <w:t xml:space="preserve"> 全省各级医疗保</w:t>
      </w:r>
      <w:r>
        <w:rPr>
          <w:rFonts w:hint="eastAsia" w:ascii="仿宋_GB2312" w:hAnsi="仿宋_GB2312" w:cs="仿宋_GB2312"/>
          <w:color w:val="auto"/>
          <w:lang w:eastAsia="zh-CN"/>
        </w:rPr>
        <w:t>障</w:t>
      </w:r>
      <w:r>
        <w:rPr>
          <w:rFonts w:hint="eastAsia" w:ascii="仿宋_GB2312" w:hAnsi="仿宋_GB2312" w:cs="仿宋_GB2312"/>
          <w:color w:val="auto"/>
        </w:rPr>
        <w:t>经办机构负责普通门诊医疗费用的审核和结算，配合医疗保障行政部门对普通门诊定点医</w:t>
      </w:r>
      <w:r>
        <w:rPr>
          <w:rFonts w:hint="eastAsia" w:ascii="仿宋_GB2312" w:hAnsi="仿宋_GB2312" w:cs="仿宋_GB2312"/>
          <w:color w:val="auto"/>
          <w:lang w:eastAsia="zh-CN"/>
        </w:rPr>
        <w:t>药</w:t>
      </w:r>
      <w:r>
        <w:rPr>
          <w:rFonts w:hint="eastAsia" w:ascii="仿宋_GB2312" w:hAnsi="仿宋_GB2312" w:cs="仿宋_GB2312"/>
          <w:color w:val="auto"/>
        </w:rPr>
        <w:t>机构开展检查、监督和考核。</w:t>
      </w:r>
    </w:p>
    <w:p>
      <w:pPr>
        <w:spacing w:line="560" w:lineRule="exact"/>
        <w:ind w:firstLine="643" w:firstLineChars="200"/>
        <w:rPr>
          <w:rFonts w:hint="eastAsia" w:ascii="仿宋_GB2312" w:hAnsi="仿宋_GB2312" w:eastAsia="仿宋_GB2312" w:cs="仿宋_GB2312"/>
          <w:color w:val="auto"/>
          <w:lang w:val="en" w:eastAsia="zh-CN"/>
        </w:rPr>
      </w:pPr>
      <w:r>
        <w:rPr>
          <w:rFonts w:hint="eastAsia" w:ascii="仿宋_GB2312" w:hAnsi="仿宋_GB2312" w:cs="仿宋_GB2312"/>
          <w:b/>
          <w:bCs/>
          <w:color w:val="auto"/>
        </w:rPr>
        <w:t>第六条</w:t>
      </w:r>
      <w:r>
        <w:rPr>
          <w:rFonts w:hint="eastAsia" w:ascii="仿宋_GB2312" w:hAnsi="仿宋_GB2312" w:cs="仿宋_GB2312"/>
          <w:color w:val="auto"/>
        </w:rPr>
        <w:t xml:space="preserve"> 普通门诊实行定点服务管理。全省城乡居民基本医疗保险定点医</w:t>
      </w:r>
      <w:r>
        <w:rPr>
          <w:rFonts w:hint="eastAsia" w:ascii="仿宋_GB2312" w:hAnsi="仿宋_GB2312" w:cs="仿宋_GB2312"/>
          <w:color w:val="auto"/>
          <w:lang w:eastAsia="zh-CN"/>
        </w:rPr>
        <w:t>药</w:t>
      </w:r>
      <w:r>
        <w:rPr>
          <w:rFonts w:hint="eastAsia" w:ascii="仿宋_GB2312" w:hAnsi="仿宋_GB2312" w:cs="仿宋_GB2312"/>
          <w:color w:val="auto"/>
        </w:rPr>
        <w:t>机构</w:t>
      </w:r>
      <w:r>
        <w:rPr>
          <w:rFonts w:hint="eastAsia" w:ascii="仿宋_GB2312" w:hAnsi="仿宋_GB2312" w:cs="仿宋_GB2312"/>
          <w:color w:val="auto"/>
          <w:lang w:eastAsia="zh-CN"/>
        </w:rPr>
        <w:t>均</w:t>
      </w:r>
      <w:r>
        <w:rPr>
          <w:rFonts w:hint="eastAsia" w:ascii="仿宋_GB2312" w:hAnsi="仿宋_GB2312" w:cs="仿宋_GB2312"/>
          <w:color w:val="auto"/>
        </w:rPr>
        <w:t>为普通门诊定点医</w:t>
      </w:r>
      <w:r>
        <w:rPr>
          <w:rFonts w:hint="eastAsia" w:ascii="仿宋_GB2312" w:hAnsi="仿宋_GB2312" w:cs="仿宋_GB2312"/>
          <w:color w:val="auto"/>
          <w:lang w:eastAsia="zh-CN"/>
        </w:rPr>
        <w:t>药</w:t>
      </w:r>
      <w:r>
        <w:rPr>
          <w:rFonts w:hint="eastAsia" w:ascii="仿宋_GB2312" w:hAnsi="仿宋_GB2312" w:cs="仿宋_GB2312"/>
          <w:color w:val="auto"/>
        </w:rPr>
        <w:t>机构，负责参保居民普通门诊就医、诊疗</w:t>
      </w:r>
      <w:r>
        <w:rPr>
          <w:rFonts w:hint="eastAsia" w:ascii="仿宋_GB2312" w:hAnsi="仿宋_GB2312" w:cs="仿宋_GB2312"/>
          <w:color w:val="auto"/>
          <w:lang w:eastAsia="zh-CN"/>
        </w:rPr>
        <w:t>和取药</w:t>
      </w:r>
      <w:r>
        <w:rPr>
          <w:rFonts w:hint="eastAsia" w:ascii="仿宋_GB2312" w:hAnsi="仿宋_GB2312" w:cs="仿宋_GB2312"/>
          <w:color w:val="auto"/>
        </w:rPr>
        <w:t>服务。</w:t>
      </w:r>
      <w:r>
        <w:rPr>
          <w:rFonts w:hint="eastAsia" w:ascii="仿宋_GB2312" w:hAnsi="仿宋_GB2312" w:cs="仿宋_GB2312"/>
          <w:color w:val="auto"/>
          <w:lang w:eastAsia="zh-CN"/>
        </w:rPr>
        <w:t>根据本省公立医院高质量发展情况，逐步将三级医院支付范围从普通门诊转为专科门诊。</w:t>
      </w:r>
    </w:p>
    <w:p>
      <w:pPr>
        <w:spacing w:line="560" w:lineRule="exact"/>
        <w:ind w:firstLine="640" w:firstLineChars="200"/>
        <w:rPr>
          <w:rFonts w:hint="eastAsia" w:ascii="仿宋_GB2312" w:hAnsi="仿宋_GB2312" w:cs="仿宋_GB2312"/>
          <w:color w:val="auto"/>
        </w:rPr>
      </w:pPr>
    </w:p>
    <w:p>
      <w:pPr>
        <w:widowControl/>
        <w:spacing w:line="560" w:lineRule="exact"/>
        <w:ind w:firstLine="640" w:firstLineChars="200"/>
        <w:jc w:val="center"/>
        <w:rPr>
          <w:rFonts w:hint="eastAsia" w:ascii="黑体" w:hAnsi="黑体" w:eastAsia="黑体" w:cs="黑体"/>
          <w:color w:val="auto"/>
          <w:kern w:val="0"/>
          <w:lang w:eastAsia="zh-CN"/>
        </w:rPr>
      </w:pPr>
      <w:r>
        <w:rPr>
          <w:rFonts w:hint="eastAsia" w:ascii="黑体" w:hAnsi="黑体" w:eastAsia="黑体" w:cs="黑体"/>
          <w:b w:val="0"/>
          <w:bCs w:val="0"/>
          <w:color w:val="auto"/>
          <w:kern w:val="0"/>
        </w:rPr>
        <w:t>第二章</w:t>
      </w:r>
      <w:r>
        <w:rPr>
          <w:rFonts w:hint="eastAsia" w:ascii="黑体" w:hAnsi="黑体" w:eastAsia="黑体" w:cs="黑体"/>
          <w:b/>
          <w:bCs/>
          <w:color w:val="auto"/>
          <w:kern w:val="0"/>
        </w:rPr>
        <w:t xml:space="preserve"> </w:t>
      </w:r>
      <w:r>
        <w:rPr>
          <w:rFonts w:hint="eastAsia" w:ascii="黑体" w:hAnsi="黑体" w:eastAsia="黑体" w:cs="黑体"/>
          <w:color w:val="auto"/>
          <w:kern w:val="0"/>
        </w:rPr>
        <w:t>基金</w:t>
      </w:r>
      <w:r>
        <w:rPr>
          <w:rFonts w:hint="eastAsia" w:ascii="黑体" w:hAnsi="黑体" w:eastAsia="黑体" w:cs="黑体"/>
          <w:color w:val="auto"/>
          <w:kern w:val="0"/>
          <w:lang w:eastAsia="zh-CN"/>
        </w:rPr>
        <w:t>来源</w:t>
      </w:r>
    </w:p>
    <w:p>
      <w:pPr>
        <w:widowControl/>
        <w:spacing w:line="560" w:lineRule="exact"/>
        <w:ind w:firstLine="640" w:firstLineChars="200"/>
        <w:jc w:val="left"/>
        <w:rPr>
          <w:rFonts w:ascii="仿宋_GB2312" w:hAnsi="仿宋_GB2312" w:cs="仿宋_GB2312"/>
          <w:color w:val="auto"/>
          <w:kern w:val="0"/>
        </w:rPr>
      </w:pP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第七条</w:t>
      </w:r>
      <w:r>
        <w:rPr>
          <w:rFonts w:hint="eastAsia" w:ascii="仿宋_GB2312" w:hAnsi="仿宋_GB2312" w:cs="仿宋_GB2312"/>
          <w:color w:val="auto"/>
        </w:rPr>
        <w:t xml:space="preserve"> 城乡居民基本医疗保险普通门诊</w:t>
      </w:r>
      <w:r>
        <w:rPr>
          <w:rFonts w:hint="eastAsia" w:ascii="仿宋_GB2312" w:hAnsi="仿宋_GB2312" w:cs="仿宋_GB2312"/>
          <w:color w:val="auto"/>
          <w:lang w:eastAsia="zh-CN"/>
        </w:rPr>
        <w:t>共济保障</w:t>
      </w:r>
      <w:r>
        <w:rPr>
          <w:rFonts w:hint="eastAsia" w:ascii="仿宋_GB2312" w:hAnsi="仿宋_GB2312" w:cs="仿宋_GB2312"/>
          <w:color w:val="auto"/>
        </w:rPr>
        <w:t>所需资金从城乡居民基本医疗保险统筹基金中列支，不另行筹集，不单独建账。在城乡居民基本医疗保险统筹基金支出户中设置普通门诊支出明细。</w:t>
      </w:r>
    </w:p>
    <w:p>
      <w:pPr>
        <w:spacing w:line="560" w:lineRule="exact"/>
        <w:ind w:left="640" w:leftChars="200"/>
        <w:rPr>
          <w:rFonts w:hint="eastAsia" w:ascii="仿宋_GB2312" w:hAnsi="仿宋_GB2312" w:cs="仿宋_GB2312"/>
          <w:color w:val="auto"/>
        </w:rPr>
      </w:pPr>
    </w:p>
    <w:p>
      <w:pPr>
        <w:widowControl/>
        <w:numPr>
          <w:ilvl w:val="0"/>
          <w:numId w:val="1"/>
        </w:numPr>
        <w:spacing w:line="560" w:lineRule="exact"/>
        <w:ind w:firstLine="640" w:firstLineChars="200"/>
        <w:jc w:val="center"/>
        <w:rPr>
          <w:rFonts w:hint="eastAsia" w:ascii="黑体" w:hAnsi="黑体" w:eastAsia="黑体" w:cs="黑体"/>
          <w:color w:val="auto"/>
          <w:kern w:val="0"/>
          <w:lang w:eastAsia="zh-CN"/>
        </w:rPr>
      </w:pPr>
      <w:r>
        <w:rPr>
          <w:rFonts w:hint="eastAsia" w:ascii="黑体" w:hAnsi="黑体" w:eastAsia="黑体" w:cs="黑体"/>
          <w:color w:val="auto"/>
          <w:kern w:val="0"/>
          <w:lang w:eastAsia="zh-CN"/>
        </w:rPr>
        <w:t>保障标准</w:t>
      </w:r>
    </w:p>
    <w:p>
      <w:pPr>
        <w:pStyle w:val="2"/>
        <w:numPr>
          <w:ilvl w:val="0"/>
          <w:numId w:val="0"/>
        </w:numPr>
        <w:rPr>
          <w:rFonts w:hint="eastAsia"/>
          <w:color w:val="auto"/>
          <w:lang w:eastAsia="zh-CN"/>
        </w:rPr>
      </w:pP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第八条</w:t>
      </w:r>
      <w:r>
        <w:rPr>
          <w:rFonts w:hint="eastAsia" w:ascii="仿宋_GB2312" w:hAnsi="仿宋_GB2312" w:cs="仿宋_GB2312"/>
          <w:color w:val="auto"/>
        </w:rPr>
        <w:t xml:space="preserve"> 参保</w:t>
      </w:r>
      <w:r>
        <w:rPr>
          <w:rFonts w:hint="eastAsia" w:ascii="仿宋_GB2312" w:hAnsi="仿宋_GB2312" w:cs="仿宋_GB2312"/>
          <w:color w:val="auto"/>
          <w:lang w:eastAsia="zh-CN"/>
        </w:rPr>
        <w:t>人员</w:t>
      </w:r>
      <w:r>
        <w:rPr>
          <w:rFonts w:hint="eastAsia" w:ascii="仿宋_GB2312" w:hAnsi="仿宋_GB2312" w:cs="仿宋_GB2312"/>
          <w:color w:val="auto"/>
        </w:rPr>
        <w:t>普通门诊医疗费用，统筹基金按照以下标准支付：</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auto"/>
        </w:rPr>
      </w:pPr>
      <w:r>
        <w:rPr>
          <w:rFonts w:hint="eastAsia" w:ascii="方正楷体_GBK" w:hAnsi="方正楷体_GBK" w:eastAsia="方正楷体_GBK" w:cs="方正楷体_GBK"/>
          <w:color w:val="auto"/>
          <w:kern w:val="2"/>
          <w:sz w:val="32"/>
          <w:szCs w:val="32"/>
          <w:lang w:val="en-US" w:eastAsia="zh-CN" w:bidi="ar-SA"/>
        </w:rPr>
        <w:t>（一）年度起付标准：</w:t>
      </w:r>
      <w:r>
        <w:rPr>
          <w:rFonts w:hint="eastAsia" w:ascii="CESI仿宋-GB2312" w:hAnsi="CESI仿宋-GB2312" w:eastAsia="CESI仿宋-GB2312" w:cs="CESI仿宋-GB2312"/>
          <w:color w:val="auto"/>
          <w:sz w:val="32"/>
          <w:szCs w:val="32"/>
          <w:lang w:eastAsia="zh-CN"/>
        </w:rPr>
        <w:t>一级及以下医疗机构</w:t>
      </w:r>
      <w:r>
        <w:rPr>
          <w:rFonts w:hint="eastAsia" w:ascii="CESI仿宋-GB2312" w:hAnsi="CESI仿宋-GB2312" w:eastAsia="CESI仿宋-GB2312" w:cs="CESI仿宋-GB2312"/>
          <w:color w:val="auto"/>
          <w:sz w:val="32"/>
          <w:szCs w:val="32"/>
          <w:lang w:val="en-US" w:eastAsia="zh-CN"/>
        </w:rPr>
        <w:t>10元、</w:t>
      </w:r>
      <w:r>
        <w:rPr>
          <w:rFonts w:hint="eastAsia" w:ascii="CESI仿宋-GB2312" w:hAnsi="CESI仿宋-GB2312" w:eastAsia="CESI仿宋-GB2312" w:cs="CESI仿宋-GB2312"/>
          <w:color w:val="auto"/>
          <w:sz w:val="32"/>
          <w:szCs w:val="32"/>
          <w:lang w:eastAsia="zh-CN"/>
        </w:rPr>
        <w:t>二级医疗机构</w:t>
      </w:r>
      <w:r>
        <w:rPr>
          <w:rFonts w:hint="eastAsia" w:ascii="CESI仿宋-GB2312" w:hAnsi="CESI仿宋-GB2312" w:eastAsia="CESI仿宋-GB2312" w:cs="CESI仿宋-GB2312"/>
          <w:color w:val="auto"/>
          <w:kern w:val="0"/>
          <w:sz w:val="32"/>
          <w:szCs w:val="32"/>
          <w:lang w:val="en-US" w:eastAsia="zh-CN"/>
        </w:rPr>
        <w:t>50元、三级医疗机构100元</w:t>
      </w:r>
      <w:r>
        <w:rPr>
          <w:rFonts w:hint="eastAsia" w:ascii="CESI仿宋-GB2312" w:hAnsi="CESI仿宋-GB2312" w:eastAsia="CESI仿宋-GB2312" w:cs="CESI仿宋-GB2312"/>
          <w:color w:val="auto"/>
          <w:sz w:val="32"/>
          <w:szCs w:val="32"/>
          <w:lang w:eastAsia="zh-CN"/>
        </w:rPr>
        <w:t>，与门诊慢性特殊疾病、住院合并计算。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auto"/>
          <w:kern w:val="0"/>
        </w:rPr>
      </w:pPr>
      <w:r>
        <w:rPr>
          <w:rFonts w:hint="eastAsia" w:ascii="方正楷体_GBK" w:hAnsi="方正楷体_GBK" w:eastAsia="方正楷体_GBK" w:cs="方正楷体_GBK"/>
          <w:color w:val="auto"/>
          <w:lang w:eastAsia="zh-CN"/>
        </w:rPr>
        <w:t>（二）年度最高支付标准</w:t>
      </w:r>
      <w:r>
        <w:rPr>
          <w:rFonts w:hint="eastAsia" w:ascii="方正楷体_GBK" w:hAnsi="方正楷体_GBK" w:eastAsia="方正楷体_GBK" w:cs="方正楷体_GBK"/>
          <w:color w:val="auto"/>
          <w:lang w:val="en-US" w:eastAsia="zh-CN"/>
        </w:rPr>
        <w:t>（含一般诊疗费）</w:t>
      </w:r>
      <w:r>
        <w:rPr>
          <w:rFonts w:hint="eastAsia" w:ascii="CESI仿宋-GB2312" w:hAnsi="CESI仿宋-GB2312" w:eastAsia="CESI仿宋-GB2312" w:cs="CESI仿宋-GB2312"/>
          <w:color w:val="auto"/>
          <w:kern w:val="0"/>
          <w:sz w:val="32"/>
          <w:szCs w:val="32"/>
          <w:lang w:val="en-US" w:eastAsia="zh-CN"/>
        </w:rPr>
        <w:t>：60周岁（不含）以下参保</w:t>
      </w:r>
      <w:r>
        <w:rPr>
          <w:rFonts w:hint="eastAsia" w:ascii="仿宋_GB2312" w:hAnsi="仿宋_GB2312" w:cs="仿宋_GB2312"/>
          <w:color w:val="auto"/>
          <w:lang w:eastAsia="zh-CN"/>
        </w:rPr>
        <w:t>人员</w:t>
      </w:r>
      <w:r>
        <w:rPr>
          <w:rFonts w:hint="eastAsia" w:ascii="CESI仿宋-GB2312" w:hAnsi="CESI仿宋-GB2312" w:eastAsia="CESI仿宋-GB2312" w:cs="CESI仿宋-GB2312"/>
          <w:color w:val="auto"/>
          <w:kern w:val="0"/>
          <w:sz w:val="32"/>
          <w:szCs w:val="32"/>
          <w:lang w:val="en-US" w:eastAsia="zh-CN"/>
        </w:rPr>
        <w:t>为500元、60周岁（含）以上参保</w:t>
      </w:r>
      <w:r>
        <w:rPr>
          <w:rFonts w:hint="eastAsia" w:ascii="仿宋_GB2312" w:hAnsi="仿宋_GB2312" w:cs="仿宋_GB2312"/>
          <w:color w:val="auto"/>
          <w:lang w:eastAsia="zh-CN"/>
        </w:rPr>
        <w:t>人员</w:t>
      </w:r>
      <w:r>
        <w:rPr>
          <w:rFonts w:hint="eastAsia" w:ascii="CESI仿宋-GB2312" w:hAnsi="CESI仿宋-GB2312" w:eastAsia="CESI仿宋-GB2312" w:cs="CESI仿宋-GB2312"/>
          <w:color w:val="auto"/>
          <w:kern w:val="0"/>
          <w:sz w:val="32"/>
          <w:szCs w:val="32"/>
          <w:lang w:val="en-US" w:eastAsia="zh-CN"/>
        </w:rPr>
        <w:t>为700元</w:t>
      </w:r>
      <w:r>
        <w:rPr>
          <w:rFonts w:hint="eastAsia" w:ascii="仿宋_GB2312" w:hAnsi="仿宋_GB2312" w:cs="仿宋_GB2312"/>
          <w:color w:val="auto"/>
        </w:rPr>
        <w:t>，计入年度统筹基金累计最高支付</w:t>
      </w:r>
      <w:r>
        <w:rPr>
          <w:rFonts w:hint="eastAsia" w:ascii="仿宋_GB2312" w:hAnsi="仿宋_GB2312" w:cs="仿宋_GB2312"/>
          <w:color w:val="auto"/>
          <w:lang w:eastAsia="zh-CN"/>
        </w:rPr>
        <w:t>标准</w:t>
      </w:r>
      <w:r>
        <w:rPr>
          <w:rFonts w:hint="eastAsia" w:ascii="仿宋_GB2312" w:hAnsi="仿宋_GB2312" w:cs="仿宋_GB2312"/>
          <w:color w:val="auto"/>
        </w:rPr>
        <w:t>。</w:t>
      </w:r>
    </w:p>
    <w:p>
      <w:pPr>
        <w:numPr>
          <w:ilvl w:val="0"/>
          <w:numId w:val="0"/>
        </w:numPr>
        <w:spacing w:line="560" w:lineRule="exact"/>
        <w:rPr>
          <w:rFonts w:hint="eastAsia" w:ascii="仿宋_GB2312" w:hAnsi="仿宋_GB2312" w:cs="仿宋_GB2312"/>
          <w:color w:val="auto"/>
        </w:rPr>
      </w:pPr>
      <w:r>
        <w:rPr>
          <w:rFonts w:hint="eastAsia" w:ascii="仿宋_GB2312" w:hAnsi="仿宋_GB2312" w:cs="仿宋_GB2312"/>
          <w:color w:val="auto"/>
          <w:lang w:eastAsia="zh-CN"/>
        </w:rPr>
        <w:t>　　</w:t>
      </w:r>
      <w:r>
        <w:rPr>
          <w:rFonts w:hint="eastAsia" w:ascii="仿宋_GB2312" w:hAnsi="仿宋_GB2312" w:cs="仿宋_GB2312"/>
          <w:color w:val="auto"/>
        </w:rPr>
        <w:t>参保</w:t>
      </w:r>
      <w:r>
        <w:rPr>
          <w:rFonts w:hint="eastAsia" w:ascii="仿宋_GB2312" w:hAnsi="仿宋_GB2312" w:cs="仿宋_GB2312"/>
          <w:color w:val="auto"/>
          <w:lang w:eastAsia="zh-CN"/>
        </w:rPr>
        <w:t>人员</w:t>
      </w:r>
      <w:r>
        <w:rPr>
          <w:rFonts w:hint="eastAsia" w:ascii="仿宋_GB2312" w:hAnsi="仿宋_GB2312" w:cs="仿宋_GB2312"/>
          <w:color w:val="auto"/>
        </w:rPr>
        <w:t>当年度未达到普通门诊医疗费用年度累计最高支付标准的，其剩余部分可结转至下年度，计入住院医疗费用统筹支付额度，参保期间可依次结转，中断参保不再结转。</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CESI仿宋-GB2312" w:hAnsi="CESI仿宋-GB2312" w:eastAsia="CESI仿宋-GB2312" w:cs="CESI仿宋-GB2312"/>
          <w:color w:val="auto"/>
          <w:sz w:val="32"/>
          <w:szCs w:val="32"/>
          <w:lang w:val="en-US" w:eastAsia="zh-CN"/>
        </w:rPr>
      </w:pPr>
      <w:r>
        <w:rPr>
          <w:rFonts w:hint="eastAsia" w:ascii="方正楷体_GBK" w:hAnsi="方正楷体_GBK" w:eastAsia="方正楷体_GBK" w:cs="方正楷体_GBK"/>
          <w:color w:val="auto"/>
          <w:sz w:val="32"/>
          <w:szCs w:val="32"/>
          <w:highlight w:val="none"/>
          <w:lang w:val="en-US" w:eastAsia="zh-CN"/>
        </w:rPr>
        <w:t>（三）支付比例：</w:t>
      </w:r>
      <w:r>
        <w:rPr>
          <w:rFonts w:hint="eastAsia" w:ascii="仿宋_GB2312" w:hAnsi="仿宋_GB2312" w:eastAsia="仿宋_GB2312" w:cs="仿宋_GB2312"/>
          <w:color w:val="auto"/>
          <w:sz w:val="32"/>
          <w:szCs w:val="32"/>
          <w:highlight w:val="none"/>
          <w:lang w:val="en-US" w:eastAsia="zh-CN"/>
        </w:rPr>
        <w:t>参保</w:t>
      </w:r>
      <w:r>
        <w:rPr>
          <w:rFonts w:hint="eastAsia" w:ascii="仿宋_GB2312" w:hAnsi="仿宋_GB2312" w:cs="仿宋_GB2312"/>
          <w:color w:val="auto"/>
          <w:lang w:eastAsia="zh-CN"/>
        </w:rPr>
        <w:t>人员</w:t>
      </w:r>
      <w:r>
        <w:rPr>
          <w:rFonts w:hint="eastAsia" w:ascii="仿宋_GB2312" w:hAnsi="仿宋_GB2312" w:eastAsia="仿宋_GB2312" w:cs="仿宋_GB2312"/>
          <w:color w:val="auto"/>
          <w:sz w:val="32"/>
          <w:szCs w:val="32"/>
          <w:highlight w:val="none"/>
          <w:lang w:val="en-US" w:eastAsia="zh-CN"/>
        </w:rPr>
        <w:t>发生起付标准以上、</w:t>
      </w:r>
      <w:r>
        <w:rPr>
          <w:rFonts w:hint="eastAsia" w:ascii="仿宋_GB2312" w:hAnsi="仿宋_GB2312" w:eastAsia="仿宋_GB2312" w:cs="仿宋_GB2312"/>
          <w:color w:val="auto"/>
          <w:sz w:val="32"/>
          <w:szCs w:val="32"/>
        </w:rPr>
        <w:t>最高支付</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rPr>
        <w:t>以下</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门诊医疗费用，由统筹基金和参保</w:t>
      </w:r>
      <w:r>
        <w:rPr>
          <w:rFonts w:hint="eastAsia" w:ascii="仿宋_GB2312" w:hAnsi="仿宋_GB2312" w:cs="仿宋_GB2312"/>
          <w:color w:val="auto"/>
          <w:sz w:val="32"/>
          <w:szCs w:val="32"/>
          <w:highlight w:val="none"/>
          <w:lang w:val="en-US" w:eastAsia="zh-CN"/>
        </w:rPr>
        <w:t>居民</w:t>
      </w:r>
      <w:r>
        <w:rPr>
          <w:rFonts w:hint="eastAsia" w:ascii="仿宋_GB2312" w:hAnsi="仿宋_GB2312" w:eastAsia="仿宋_GB2312" w:cs="仿宋_GB2312"/>
          <w:color w:val="auto"/>
          <w:sz w:val="32"/>
          <w:szCs w:val="32"/>
        </w:rPr>
        <w:t>按比例分担：</w:t>
      </w:r>
      <w:r>
        <w:rPr>
          <w:rFonts w:hint="eastAsia" w:ascii="CESI仿宋-GB2312" w:hAnsi="CESI仿宋-GB2312" w:eastAsia="CESI仿宋-GB2312" w:cs="CESI仿宋-GB2312"/>
          <w:color w:val="auto"/>
          <w:sz w:val="32"/>
          <w:szCs w:val="32"/>
        </w:rPr>
        <w:t>一级及以下定点医疗机构，统筹基金支付比例为</w:t>
      </w:r>
      <w:r>
        <w:rPr>
          <w:rFonts w:hint="eastAsia" w:ascii="CESI仿宋-GB2312" w:hAnsi="CESI仿宋-GB2312" w:eastAsia="CESI仿宋-GB2312" w:cs="CESI仿宋-GB2312"/>
          <w:color w:val="auto"/>
          <w:sz w:val="32"/>
          <w:szCs w:val="32"/>
          <w:lang w:val="en-US" w:eastAsia="zh-CN"/>
        </w:rPr>
        <w:t>70</w:t>
      </w:r>
      <w:r>
        <w:rPr>
          <w:rFonts w:hint="eastAsia" w:ascii="CESI仿宋-GB2312" w:hAnsi="CESI仿宋-GB2312" w:eastAsia="CESI仿宋-GB2312" w:cs="CESI仿宋-GB2312"/>
          <w:color w:val="auto"/>
          <w:sz w:val="32"/>
          <w:szCs w:val="32"/>
        </w:rPr>
        <w:t>%，个人支付比例为</w:t>
      </w:r>
      <w:r>
        <w:rPr>
          <w:rFonts w:hint="eastAsia" w:ascii="CESI仿宋-GB2312" w:hAnsi="CESI仿宋-GB2312" w:eastAsia="CESI仿宋-GB2312" w:cs="CESI仿宋-GB2312"/>
          <w:color w:val="auto"/>
          <w:sz w:val="32"/>
          <w:szCs w:val="32"/>
          <w:lang w:val="en-US" w:eastAsia="zh-CN"/>
        </w:rPr>
        <w:t>30</w:t>
      </w:r>
      <w:r>
        <w:rPr>
          <w:rFonts w:hint="eastAsia" w:ascii="CESI仿宋-GB2312" w:hAnsi="CESI仿宋-GB2312" w:eastAsia="CESI仿宋-GB2312" w:cs="CESI仿宋-GB2312"/>
          <w:color w:val="auto"/>
          <w:sz w:val="32"/>
          <w:szCs w:val="32"/>
        </w:rPr>
        <w:t>%；二级定点医疗机构</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统筹基金支付比例为</w:t>
      </w:r>
      <w:r>
        <w:rPr>
          <w:rFonts w:hint="eastAsia" w:ascii="CESI仿宋-GB2312" w:hAnsi="CESI仿宋-GB2312" w:eastAsia="CESI仿宋-GB2312" w:cs="CESI仿宋-GB2312"/>
          <w:color w:val="auto"/>
          <w:sz w:val="32"/>
          <w:szCs w:val="32"/>
          <w:lang w:val="en-US" w:eastAsia="zh-CN"/>
        </w:rPr>
        <w:t>50</w:t>
      </w:r>
      <w:r>
        <w:rPr>
          <w:rFonts w:hint="eastAsia" w:ascii="CESI仿宋-GB2312" w:hAnsi="CESI仿宋-GB2312" w:eastAsia="CESI仿宋-GB2312" w:cs="CESI仿宋-GB2312"/>
          <w:color w:val="auto"/>
          <w:sz w:val="32"/>
          <w:szCs w:val="32"/>
        </w:rPr>
        <w:t>%，个人支付比例为</w:t>
      </w:r>
      <w:r>
        <w:rPr>
          <w:rFonts w:hint="eastAsia" w:ascii="CESI仿宋-GB2312" w:hAnsi="CESI仿宋-GB2312" w:eastAsia="CESI仿宋-GB2312" w:cs="CESI仿宋-GB2312"/>
          <w:color w:val="auto"/>
          <w:sz w:val="32"/>
          <w:szCs w:val="32"/>
          <w:lang w:val="en-US" w:eastAsia="zh-CN"/>
        </w:rPr>
        <w:t>50</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；三</w:t>
      </w:r>
      <w:r>
        <w:rPr>
          <w:rFonts w:hint="eastAsia" w:ascii="CESI仿宋-GB2312" w:hAnsi="CESI仿宋-GB2312" w:eastAsia="CESI仿宋-GB2312" w:cs="CESI仿宋-GB2312"/>
          <w:color w:val="auto"/>
          <w:sz w:val="32"/>
          <w:szCs w:val="32"/>
        </w:rPr>
        <w:t>级定点医疗机构</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统筹基金支付比例为</w:t>
      </w:r>
      <w:r>
        <w:rPr>
          <w:rFonts w:hint="eastAsia" w:ascii="CESI仿宋-GB2312" w:hAnsi="CESI仿宋-GB2312" w:eastAsia="CESI仿宋-GB2312" w:cs="CESI仿宋-GB2312"/>
          <w:color w:val="auto"/>
          <w:sz w:val="32"/>
          <w:szCs w:val="32"/>
          <w:lang w:eastAsia="zh-CN"/>
        </w:rPr>
        <w:t>３</w:t>
      </w:r>
      <w:r>
        <w:rPr>
          <w:rFonts w:hint="eastAsia" w:ascii="CESI仿宋-GB2312" w:hAnsi="CESI仿宋-GB2312" w:eastAsia="CESI仿宋-GB2312" w:cs="CESI仿宋-GB2312"/>
          <w:color w:val="auto"/>
          <w:sz w:val="32"/>
          <w:szCs w:val="32"/>
          <w:lang w:val="en-US" w:eastAsia="zh-CN"/>
        </w:rPr>
        <w:t>0%</w:t>
      </w:r>
      <w:r>
        <w:rPr>
          <w:rFonts w:hint="eastAsia" w:ascii="CESI仿宋-GB2312" w:hAnsi="CESI仿宋-GB2312" w:eastAsia="CESI仿宋-GB2312" w:cs="CESI仿宋-GB2312"/>
          <w:color w:val="auto"/>
          <w:sz w:val="32"/>
          <w:szCs w:val="32"/>
        </w:rPr>
        <w:t>，个人支付比例为</w:t>
      </w:r>
      <w:r>
        <w:rPr>
          <w:rFonts w:hint="eastAsia" w:ascii="CESI仿宋-GB2312" w:hAnsi="CESI仿宋-GB2312" w:eastAsia="CESI仿宋-GB2312" w:cs="CESI仿宋-GB2312"/>
          <w:color w:val="auto"/>
          <w:sz w:val="32"/>
          <w:szCs w:val="32"/>
          <w:lang w:val="en-US" w:eastAsia="zh-CN"/>
        </w:rPr>
        <w:t>７0%。</w:t>
      </w: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w:t>
      </w:r>
      <w:r>
        <w:rPr>
          <w:rFonts w:hint="eastAsia" w:ascii="仿宋_GB2312" w:hAnsi="仿宋_GB2312" w:cs="仿宋_GB2312"/>
          <w:b/>
          <w:bCs/>
          <w:color w:val="auto"/>
          <w:lang w:eastAsia="zh-CN"/>
        </w:rPr>
        <w:t>九</w:t>
      </w:r>
      <w:r>
        <w:rPr>
          <w:rFonts w:hint="eastAsia" w:ascii="仿宋_GB2312" w:hAnsi="仿宋_GB2312" w:cs="仿宋_GB2312"/>
          <w:b/>
          <w:bCs/>
          <w:color w:val="auto"/>
        </w:rPr>
        <w:t>条</w:t>
      </w:r>
      <w:r>
        <w:rPr>
          <w:rFonts w:hint="eastAsia" w:ascii="仿宋_GB2312" w:hAnsi="仿宋_GB2312" w:cs="仿宋_GB2312"/>
          <w:color w:val="auto"/>
        </w:rPr>
        <w:t xml:space="preserve"> 符合</w:t>
      </w:r>
      <w:r>
        <w:rPr>
          <w:rFonts w:hint="eastAsia" w:ascii="仿宋_GB2312" w:hAnsi="仿宋_GB2312" w:cs="仿宋_GB2312"/>
          <w:color w:val="auto"/>
          <w:lang w:eastAsia="zh-CN"/>
        </w:rPr>
        <w:t>国家基本医疗保险</w:t>
      </w:r>
      <w:r>
        <w:rPr>
          <w:rFonts w:hint="eastAsia" w:ascii="仿宋_GB2312" w:hAnsi="仿宋" w:eastAsia="仿宋_GB2312"/>
          <w:color w:val="auto"/>
          <w:sz w:val="32"/>
          <w:szCs w:val="32"/>
          <w:shd w:val="clear" w:color="auto" w:fill="FFFFFF"/>
          <w:lang w:eastAsia="zh-CN"/>
        </w:rPr>
        <w:t>药</w:t>
      </w:r>
      <w:r>
        <w:rPr>
          <w:rFonts w:hint="eastAsia" w:ascii="仿宋_GB2312" w:hAnsi="仿宋" w:eastAsia="仿宋_GB2312"/>
          <w:color w:val="auto"/>
          <w:sz w:val="32"/>
          <w:szCs w:val="32"/>
          <w:shd w:val="clear" w:color="auto" w:fill="FFFFFF"/>
        </w:rPr>
        <w:t>品目录</w:t>
      </w:r>
      <w:r>
        <w:rPr>
          <w:rFonts w:hint="eastAsia" w:ascii="仿宋_GB2312" w:hAnsi="仿宋"/>
          <w:color w:val="auto"/>
          <w:sz w:val="32"/>
          <w:szCs w:val="32"/>
          <w:shd w:val="clear" w:color="auto" w:fill="FFFFFF"/>
          <w:lang w:eastAsia="zh-CN"/>
        </w:rPr>
        <w:t>及我省</w:t>
      </w:r>
      <w:r>
        <w:rPr>
          <w:rFonts w:hint="eastAsia" w:ascii="仿宋_GB2312" w:hAnsi="仿宋" w:eastAsia="仿宋_GB2312" w:cs="仿宋"/>
          <w:color w:val="auto"/>
          <w:sz w:val="32"/>
          <w:szCs w:val="32"/>
        </w:rPr>
        <w:t>诊疗项目目录、医疗服务设施范围目录和医用耗材目录</w:t>
      </w:r>
      <w:r>
        <w:rPr>
          <w:rFonts w:hint="eastAsia" w:ascii="仿宋_GB2312" w:hAnsi="仿宋" w:cs="仿宋"/>
          <w:color w:val="auto"/>
          <w:sz w:val="32"/>
          <w:szCs w:val="32"/>
          <w:lang w:eastAsia="zh-CN"/>
        </w:rPr>
        <w:t>规定</w:t>
      </w:r>
      <w:r>
        <w:rPr>
          <w:rFonts w:hint="eastAsia" w:ascii="仿宋_GB2312" w:hAnsi="仿宋_GB2312" w:cs="仿宋_GB2312"/>
          <w:color w:val="auto"/>
        </w:rPr>
        <w:t>的医疗费用，纳入城乡居民基本医疗保险普通门诊支付</w:t>
      </w:r>
      <w:r>
        <w:rPr>
          <w:rFonts w:hint="eastAsia" w:ascii="仿宋_GB2312" w:hAnsi="仿宋_GB2312" w:cs="仿宋_GB2312"/>
          <w:color w:val="auto"/>
          <w:lang w:eastAsia="zh-CN"/>
        </w:rPr>
        <w:t>范围</w:t>
      </w:r>
      <w:r>
        <w:rPr>
          <w:rFonts w:hint="eastAsia" w:ascii="仿宋_GB2312" w:hAnsi="仿宋_GB2312" w:cs="仿宋_GB2312"/>
          <w:color w:val="auto"/>
        </w:rPr>
        <w:t>。</w:t>
      </w:r>
    </w:p>
    <w:p>
      <w:pPr>
        <w:widowControl/>
        <w:spacing w:line="560" w:lineRule="exact"/>
        <w:ind w:firstLine="643" w:firstLineChars="200"/>
        <w:jc w:val="left"/>
        <w:rPr>
          <w:rFonts w:ascii="仿宋_GB2312" w:hAnsi="仿宋_GB2312" w:cs="仿宋_GB2312"/>
          <w:color w:val="auto"/>
          <w:kern w:val="0"/>
        </w:rPr>
      </w:pPr>
      <w:r>
        <w:rPr>
          <w:rFonts w:hint="eastAsia" w:ascii="仿宋_GB2312" w:hAnsi="仿宋_GB2312" w:cs="仿宋_GB2312"/>
          <w:b/>
          <w:bCs/>
          <w:color w:val="auto"/>
          <w:kern w:val="0"/>
        </w:rPr>
        <w:t>第十条</w:t>
      </w:r>
      <w:r>
        <w:rPr>
          <w:rFonts w:hint="eastAsia" w:ascii="仿宋_GB2312" w:hAnsi="仿宋_GB2312" w:cs="仿宋_GB2312"/>
          <w:color w:val="auto"/>
          <w:kern w:val="0"/>
        </w:rPr>
        <w:t xml:space="preserve"> </w:t>
      </w:r>
      <w:r>
        <w:rPr>
          <w:rFonts w:hint="eastAsia" w:ascii="仿宋_GB2312" w:hAnsi="仿宋_GB2312" w:cs="仿宋_GB2312"/>
          <w:color w:val="auto"/>
          <w:kern w:val="0"/>
          <w:lang w:eastAsia="zh-CN"/>
        </w:rPr>
        <w:t>下列医疗费用</w:t>
      </w:r>
      <w:r>
        <w:rPr>
          <w:rFonts w:hint="eastAsia" w:ascii="仿宋_GB2312" w:hAnsi="仿宋_GB2312" w:cs="仿宋_GB2312"/>
          <w:color w:val="auto"/>
          <w:kern w:val="0"/>
        </w:rPr>
        <w:t>不纳入城乡居民基本医疗保险普通门诊支付</w:t>
      </w:r>
      <w:r>
        <w:rPr>
          <w:rFonts w:hint="eastAsia" w:ascii="仿宋_GB2312" w:hAnsi="仿宋_GB2312" w:cs="仿宋_GB2312"/>
          <w:color w:val="auto"/>
          <w:kern w:val="0"/>
          <w:lang w:eastAsia="zh-CN"/>
        </w:rPr>
        <w:t>范围</w:t>
      </w:r>
      <w:r>
        <w:rPr>
          <w:rFonts w:hint="eastAsia" w:ascii="仿宋_GB2312" w:hAnsi="仿宋_GB2312" w:cs="仿宋_GB2312"/>
          <w:color w:val="auto"/>
          <w:kern w:val="0"/>
        </w:rPr>
        <w:t>：</w:t>
      </w:r>
    </w:p>
    <w:p>
      <w:pPr>
        <w:numPr>
          <w:ilvl w:val="0"/>
          <w:numId w:val="2"/>
        </w:numPr>
        <w:spacing w:line="560" w:lineRule="exact"/>
        <w:ind w:firstLine="567"/>
        <w:rPr>
          <w:rFonts w:hint="eastAsia" w:ascii="仿宋_GB2312" w:hAnsi="仿宋_GB2312" w:cs="仿宋_GB2312"/>
          <w:color w:val="auto"/>
        </w:rPr>
      </w:pPr>
      <w:r>
        <w:rPr>
          <w:rFonts w:hint="eastAsia" w:ascii="仿宋_GB2312" w:hAnsi="仿宋_GB2312" w:cs="仿宋_GB2312"/>
          <w:color w:val="auto"/>
        </w:rPr>
        <w:t>未在定点医</w:t>
      </w:r>
      <w:r>
        <w:rPr>
          <w:rFonts w:hint="eastAsia" w:ascii="仿宋_GB2312" w:hAnsi="仿宋_GB2312" w:cs="仿宋_GB2312"/>
          <w:color w:val="auto"/>
          <w:lang w:eastAsia="zh-CN"/>
        </w:rPr>
        <w:t>药</w:t>
      </w:r>
      <w:r>
        <w:rPr>
          <w:rFonts w:hint="eastAsia" w:ascii="仿宋_GB2312" w:hAnsi="仿宋_GB2312" w:cs="仿宋_GB2312"/>
          <w:color w:val="auto"/>
        </w:rPr>
        <w:t>机构发生的普通门诊医疗费用；</w:t>
      </w:r>
    </w:p>
    <w:p>
      <w:pPr>
        <w:numPr>
          <w:ilvl w:val="0"/>
          <w:numId w:val="2"/>
        </w:numPr>
        <w:spacing w:line="560" w:lineRule="exact"/>
        <w:ind w:firstLine="567"/>
        <w:rPr>
          <w:rFonts w:hint="eastAsia" w:ascii="仿宋_GB2312" w:hAnsi="仿宋_GB2312" w:cs="仿宋_GB2312"/>
          <w:color w:val="auto"/>
        </w:rPr>
      </w:pPr>
      <w:r>
        <w:rPr>
          <w:rFonts w:hint="eastAsia" w:ascii="仿宋_GB2312" w:hAnsi="仿宋_GB2312" w:cs="仿宋_GB2312"/>
          <w:color w:val="auto"/>
        </w:rPr>
        <w:t>不符合基本医疗保险</w:t>
      </w:r>
      <w:r>
        <w:rPr>
          <w:rFonts w:hint="eastAsia" w:ascii="仿宋_GB2312" w:hAnsi="仿宋_GB2312" w:cs="仿宋_GB2312"/>
          <w:color w:val="auto"/>
          <w:lang w:eastAsia="zh-CN"/>
        </w:rPr>
        <w:t>规定</w:t>
      </w:r>
      <w:r>
        <w:rPr>
          <w:rFonts w:hint="eastAsia" w:ascii="仿宋_GB2312" w:hAnsi="仿宋_GB2312" w:cs="仿宋_GB2312"/>
          <w:color w:val="auto"/>
        </w:rPr>
        <w:t>的</w:t>
      </w:r>
      <w:r>
        <w:rPr>
          <w:rFonts w:hint="eastAsia" w:ascii="仿宋_GB2312" w:hAnsi="仿宋_GB2312" w:cs="仿宋_GB2312"/>
          <w:color w:val="auto"/>
          <w:lang w:eastAsia="zh-CN"/>
        </w:rPr>
        <w:t>医疗费用</w:t>
      </w:r>
      <w:r>
        <w:rPr>
          <w:rFonts w:hint="eastAsia" w:ascii="仿宋_GB2312" w:hAnsi="仿宋_GB2312" w:cs="仿宋_GB2312"/>
          <w:color w:val="auto"/>
        </w:rPr>
        <w:t>；</w:t>
      </w:r>
    </w:p>
    <w:p>
      <w:pPr>
        <w:numPr>
          <w:ilvl w:val="0"/>
          <w:numId w:val="2"/>
        </w:numPr>
        <w:spacing w:line="560" w:lineRule="exact"/>
        <w:ind w:firstLine="567"/>
        <w:rPr>
          <w:rFonts w:hint="eastAsia" w:ascii="仿宋_GB2312" w:hAnsi="仿宋_GB2312" w:cs="仿宋_GB2312"/>
          <w:color w:val="auto"/>
        </w:rPr>
      </w:pPr>
      <w:r>
        <w:rPr>
          <w:rFonts w:hint="eastAsia" w:ascii="仿宋_GB2312" w:hAnsi="仿宋_GB2312" w:cs="仿宋_GB2312"/>
          <w:color w:val="auto"/>
        </w:rPr>
        <w:t>已纳入城乡居民基本医疗保险住院统筹基金结算的急诊抢救医疗费用；</w:t>
      </w:r>
    </w:p>
    <w:p>
      <w:pPr>
        <w:numPr>
          <w:ilvl w:val="0"/>
          <w:numId w:val="2"/>
        </w:numPr>
        <w:spacing w:line="560" w:lineRule="exact"/>
        <w:ind w:firstLine="567"/>
        <w:rPr>
          <w:rFonts w:hint="eastAsia" w:ascii="仿宋_GB2312" w:hAnsi="仿宋_GB2312" w:cs="仿宋_GB2312"/>
          <w:color w:val="auto"/>
        </w:rPr>
      </w:pPr>
      <w:r>
        <w:rPr>
          <w:rFonts w:hint="eastAsia" w:ascii="仿宋_GB2312" w:hAnsi="仿宋_GB2312" w:cs="仿宋_GB2312"/>
          <w:color w:val="auto"/>
        </w:rPr>
        <w:t>住院期间发生的普通门诊医疗费用；</w:t>
      </w:r>
    </w:p>
    <w:p>
      <w:pPr>
        <w:numPr>
          <w:ilvl w:val="0"/>
          <w:numId w:val="0"/>
        </w:numPr>
        <w:spacing w:line="560" w:lineRule="exact"/>
        <w:rPr>
          <w:rFonts w:hint="eastAsia" w:ascii="仿宋_GB2312" w:hAnsi="仿宋_GB2312" w:cs="仿宋_GB2312"/>
          <w:color w:val="auto"/>
        </w:rPr>
      </w:pPr>
      <w:r>
        <w:rPr>
          <w:rFonts w:hint="eastAsia" w:ascii="仿宋_GB2312" w:hAnsi="仿宋_GB2312" w:cs="仿宋_GB2312"/>
          <w:color w:val="auto"/>
          <w:lang w:eastAsia="zh-CN"/>
        </w:rPr>
        <w:t>　　（五）</w:t>
      </w:r>
      <w:r>
        <w:rPr>
          <w:rFonts w:hint="eastAsia" w:ascii="仿宋_GB2312" w:hAnsi="仿宋_GB2312" w:cs="仿宋_GB2312"/>
          <w:color w:val="auto"/>
        </w:rPr>
        <w:t>超过普通门诊年度最高支付标准</w:t>
      </w:r>
      <w:r>
        <w:rPr>
          <w:rFonts w:hint="eastAsia" w:ascii="仿宋_GB2312" w:hAnsi="仿宋_GB2312" w:cs="仿宋_GB2312"/>
          <w:color w:val="auto"/>
          <w:lang w:eastAsia="zh-CN"/>
        </w:rPr>
        <w:t>以上</w:t>
      </w:r>
      <w:r>
        <w:rPr>
          <w:rFonts w:hint="eastAsia" w:ascii="仿宋_GB2312" w:hAnsi="仿宋_GB2312" w:cs="仿宋_GB2312"/>
          <w:color w:val="auto"/>
        </w:rPr>
        <w:t>的医疗费用</w:t>
      </w:r>
      <w:r>
        <w:rPr>
          <w:rFonts w:hint="eastAsia" w:ascii="仿宋_GB2312" w:hAnsi="仿宋_GB2312" w:cs="仿宋_GB2312"/>
          <w:color w:val="auto"/>
          <w:lang w:eastAsia="zh-CN"/>
        </w:rPr>
        <w:t>（含</w:t>
      </w:r>
      <w:r>
        <w:rPr>
          <w:rFonts w:hint="eastAsia" w:ascii="仿宋_GB2312" w:hAnsi="仿宋_GB2312" w:cs="仿宋_GB2312"/>
          <w:color w:val="auto"/>
        </w:rPr>
        <w:t>一般诊疗费</w:t>
      </w:r>
      <w:r>
        <w:rPr>
          <w:rFonts w:hint="eastAsia" w:ascii="仿宋_GB2312" w:hAnsi="仿宋_GB2312" w:cs="仿宋_GB2312"/>
          <w:color w:val="auto"/>
          <w:lang w:eastAsia="zh-CN"/>
        </w:rPr>
        <w:t>）</w:t>
      </w:r>
      <w:r>
        <w:rPr>
          <w:rFonts w:hint="eastAsia" w:ascii="仿宋_GB2312" w:hAnsi="仿宋_GB2312" w:cs="仿宋_GB2312"/>
          <w:color w:val="auto"/>
        </w:rPr>
        <w:t>；</w:t>
      </w:r>
    </w:p>
    <w:p>
      <w:pPr>
        <w:numPr>
          <w:ilvl w:val="0"/>
          <w:numId w:val="0"/>
        </w:numPr>
        <w:spacing w:line="560" w:lineRule="exact"/>
        <w:ind w:left="567" w:leftChars="0"/>
        <w:rPr>
          <w:rFonts w:hint="eastAsia" w:ascii="仿宋_GB2312" w:hAnsi="仿宋_GB2312" w:cs="仿宋_GB2312"/>
          <w:color w:val="auto"/>
        </w:rPr>
      </w:pPr>
      <w:r>
        <w:rPr>
          <w:rFonts w:hint="eastAsia" w:ascii="仿宋_GB2312" w:hAnsi="仿宋_GB2312" w:cs="仿宋_GB2312"/>
          <w:color w:val="auto"/>
          <w:lang w:eastAsia="zh-CN"/>
        </w:rPr>
        <w:t>（六）</w:t>
      </w:r>
      <w:r>
        <w:rPr>
          <w:rFonts w:hint="eastAsia" w:ascii="仿宋_GB2312" w:hAnsi="仿宋_GB2312" w:cs="仿宋_GB2312"/>
          <w:color w:val="auto"/>
        </w:rPr>
        <w:t>超过</w:t>
      </w:r>
      <w:r>
        <w:rPr>
          <w:rFonts w:hint="eastAsia" w:ascii="仿宋_GB2312" w:hAnsi="仿宋_GB2312" w:cs="仿宋_GB2312"/>
          <w:color w:val="auto"/>
          <w:lang w:eastAsia="zh-CN"/>
        </w:rPr>
        <w:t>基本医疗保险</w:t>
      </w:r>
      <w:r>
        <w:rPr>
          <w:rFonts w:hint="eastAsia" w:ascii="仿宋_GB2312" w:hAnsi="仿宋_GB2312" w:cs="仿宋_GB2312"/>
          <w:color w:val="auto"/>
        </w:rPr>
        <w:t>支付标准的医疗费用；</w:t>
      </w:r>
    </w:p>
    <w:p>
      <w:pPr>
        <w:numPr>
          <w:ilvl w:val="0"/>
          <w:numId w:val="0"/>
        </w:numPr>
        <w:spacing w:line="560" w:lineRule="exact"/>
        <w:ind w:left="567" w:leftChars="0"/>
        <w:rPr>
          <w:rFonts w:hint="eastAsia" w:ascii="仿宋_GB2312" w:hAnsi="仿宋_GB2312" w:cs="仿宋_GB2312"/>
          <w:color w:val="auto"/>
        </w:rPr>
      </w:pPr>
      <w:r>
        <w:rPr>
          <w:rFonts w:hint="eastAsia" w:ascii="仿宋_GB2312" w:hAnsi="仿宋_GB2312" w:cs="仿宋_GB2312"/>
          <w:color w:val="auto"/>
          <w:lang w:eastAsia="zh-CN"/>
        </w:rPr>
        <w:t>（七）</w:t>
      </w:r>
      <w:r>
        <w:rPr>
          <w:rFonts w:hint="eastAsia" w:ascii="仿宋_GB2312" w:hAnsi="仿宋_GB2312" w:cs="仿宋_GB2312"/>
          <w:color w:val="auto"/>
        </w:rPr>
        <w:t>应当从工伤保险基金中支付的医疗费用；</w:t>
      </w:r>
    </w:p>
    <w:p>
      <w:pPr>
        <w:numPr>
          <w:ilvl w:val="0"/>
          <w:numId w:val="0"/>
        </w:numPr>
        <w:spacing w:line="560" w:lineRule="exact"/>
        <w:ind w:left="567" w:leftChars="0"/>
        <w:rPr>
          <w:rFonts w:hint="eastAsia" w:ascii="仿宋_GB2312" w:hAnsi="仿宋_GB2312" w:cs="仿宋_GB2312"/>
          <w:color w:val="auto"/>
        </w:rPr>
      </w:pPr>
      <w:r>
        <w:rPr>
          <w:rFonts w:hint="eastAsia" w:ascii="仿宋_GB2312" w:hAnsi="仿宋_GB2312" w:cs="仿宋_GB2312"/>
          <w:color w:val="auto"/>
          <w:lang w:eastAsia="zh-CN"/>
        </w:rPr>
        <w:t>（八）</w:t>
      </w:r>
      <w:r>
        <w:rPr>
          <w:rFonts w:hint="eastAsia" w:ascii="仿宋_GB2312" w:hAnsi="仿宋_GB2312" w:cs="仿宋_GB2312"/>
          <w:color w:val="auto"/>
        </w:rPr>
        <w:t>应当由第三人负担的医疗费用；</w:t>
      </w:r>
    </w:p>
    <w:p>
      <w:pPr>
        <w:spacing w:line="56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w:t>
      </w:r>
      <w:r>
        <w:rPr>
          <w:rFonts w:hint="eastAsia" w:ascii="仿宋_GB2312" w:hAnsi="仿宋" w:cs="仿宋_GB2312"/>
          <w:color w:val="auto"/>
          <w:sz w:val="32"/>
          <w:szCs w:val="32"/>
          <w:lang w:eastAsia="zh-CN"/>
        </w:rPr>
        <w:t>九</w:t>
      </w:r>
      <w:r>
        <w:rPr>
          <w:rFonts w:hint="eastAsia" w:ascii="仿宋_GB2312" w:hAnsi="仿宋" w:eastAsia="仿宋_GB2312" w:cs="仿宋_GB2312"/>
          <w:color w:val="auto"/>
          <w:sz w:val="32"/>
          <w:szCs w:val="32"/>
        </w:rPr>
        <w:t>）应当由公共卫生负担的；</w:t>
      </w:r>
    </w:p>
    <w:p>
      <w:pPr>
        <w:spacing w:line="560" w:lineRule="exact"/>
        <w:ind w:firstLine="640" w:firstLineChars="200"/>
        <w:jc w:val="left"/>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w:t>
      </w:r>
      <w:r>
        <w:rPr>
          <w:rFonts w:hint="eastAsia" w:ascii="仿宋_GB2312" w:hAnsi="仿宋" w:cs="仿宋_GB2312"/>
          <w:color w:val="auto"/>
          <w:sz w:val="32"/>
          <w:szCs w:val="32"/>
          <w:lang w:eastAsia="zh-CN"/>
        </w:rPr>
        <w:t>十</w:t>
      </w:r>
      <w:r>
        <w:rPr>
          <w:rFonts w:hint="eastAsia" w:ascii="仿宋_GB2312" w:hAnsi="仿宋" w:eastAsia="仿宋_GB2312" w:cs="仿宋_GB2312"/>
          <w:color w:val="auto"/>
          <w:sz w:val="32"/>
          <w:szCs w:val="32"/>
        </w:rPr>
        <w:t>）在境外就医的；</w:t>
      </w:r>
    </w:p>
    <w:p>
      <w:pPr>
        <w:widowControl/>
        <w:spacing w:line="560" w:lineRule="exact"/>
        <w:ind w:firstLine="640" w:firstLineChars="200"/>
        <w:jc w:val="both"/>
        <w:rPr>
          <w:rFonts w:hint="eastAsia" w:ascii="黑体" w:hAnsi="黑体" w:eastAsia="黑体" w:cs="黑体"/>
          <w:b w:val="0"/>
          <w:bCs w:val="0"/>
          <w:color w:val="auto"/>
          <w:kern w:val="0"/>
        </w:rPr>
      </w:pPr>
      <w:r>
        <w:rPr>
          <w:rFonts w:hint="eastAsia" w:ascii="仿宋_GB2312" w:hAnsi="仿宋" w:eastAsia="仿宋_GB2312" w:cs="仿宋_GB2312"/>
          <w:color w:val="auto"/>
          <w:sz w:val="32"/>
          <w:szCs w:val="32"/>
        </w:rPr>
        <w:t>（</w:t>
      </w:r>
      <w:r>
        <w:rPr>
          <w:rFonts w:hint="eastAsia" w:ascii="仿宋_GB2312" w:hAnsi="仿宋" w:cs="仿宋_GB2312"/>
          <w:color w:val="auto"/>
          <w:sz w:val="32"/>
          <w:szCs w:val="32"/>
          <w:lang w:eastAsia="zh-CN"/>
        </w:rPr>
        <w:t>十一</w:t>
      </w:r>
      <w:r>
        <w:rPr>
          <w:rFonts w:hint="eastAsia" w:ascii="仿宋_GB2312" w:hAnsi="仿宋" w:eastAsia="仿宋_GB2312" w:cs="仿宋_GB2312"/>
          <w:color w:val="auto"/>
          <w:sz w:val="32"/>
          <w:szCs w:val="32"/>
        </w:rPr>
        <w:t>）国家规定的</w:t>
      </w:r>
      <w:r>
        <w:rPr>
          <w:rFonts w:hint="eastAsia" w:ascii="仿宋_GB2312" w:hAnsi="仿宋" w:eastAsia="仿宋_GB2312" w:cs="仿宋_GB2312"/>
          <w:color w:val="auto"/>
          <w:sz w:val="32"/>
          <w:szCs w:val="32"/>
          <w:lang w:eastAsia="zh-CN"/>
        </w:rPr>
        <w:t>基本医疗保险</w:t>
      </w:r>
      <w:r>
        <w:rPr>
          <w:rFonts w:hint="eastAsia" w:ascii="仿宋_GB2312" w:hAnsi="仿宋" w:eastAsia="仿宋_GB2312" w:cs="仿宋_GB2312"/>
          <w:color w:val="auto"/>
          <w:sz w:val="32"/>
          <w:szCs w:val="32"/>
        </w:rPr>
        <w:t>基金不予支付的其他费用。　　　　　　</w:t>
      </w:r>
    </w:p>
    <w:p>
      <w:pPr>
        <w:widowControl/>
        <w:spacing w:line="560" w:lineRule="exact"/>
        <w:ind w:firstLine="640" w:firstLineChars="200"/>
        <w:jc w:val="center"/>
        <w:rPr>
          <w:rFonts w:hint="eastAsia" w:ascii="黑体" w:hAnsi="黑体" w:eastAsia="黑体" w:cs="黑体"/>
          <w:color w:val="auto"/>
          <w:kern w:val="0"/>
        </w:rPr>
      </w:pPr>
      <w:r>
        <w:rPr>
          <w:rFonts w:hint="eastAsia" w:ascii="黑体" w:hAnsi="黑体" w:eastAsia="黑体" w:cs="黑体"/>
          <w:b w:val="0"/>
          <w:bCs w:val="0"/>
          <w:color w:val="auto"/>
          <w:kern w:val="0"/>
        </w:rPr>
        <w:t xml:space="preserve">第四章 </w:t>
      </w:r>
      <w:r>
        <w:rPr>
          <w:rFonts w:hint="eastAsia" w:ascii="黑体" w:hAnsi="黑体" w:eastAsia="黑体" w:cs="黑体"/>
          <w:color w:val="auto"/>
          <w:kern w:val="0"/>
        </w:rPr>
        <w:t>费用结算</w:t>
      </w:r>
    </w:p>
    <w:p>
      <w:pPr>
        <w:widowControl/>
        <w:spacing w:line="560" w:lineRule="exact"/>
        <w:ind w:firstLine="640" w:firstLineChars="200"/>
        <w:jc w:val="left"/>
        <w:rPr>
          <w:rFonts w:ascii="仿宋_GB2312" w:hAnsi="仿宋_GB2312" w:cs="仿宋_GB2312"/>
          <w:color w:val="auto"/>
          <w:kern w:val="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color w:val="auto"/>
        </w:rPr>
      </w:pPr>
      <w:r>
        <w:rPr>
          <w:rFonts w:hint="eastAsia" w:ascii="仿宋_GB2312" w:hAnsi="仿宋_GB2312" w:cs="仿宋_GB2312"/>
          <w:b/>
          <w:bCs/>
          <w:color w:val="auto"/>
        </w:rPr>
        <w:t>第十</w:t>
      </w:r>
      <w:r>
        <w:rPr>
          <w:rFonts w:hint="eastAsia" w:ascii="仿宋_GB2312" w:hAnsi="仿宋_GB2312" w:cs="仿宋_GB2312"/>
          <w:b/>
          <w:bCs/>
          <w:color w:val="auto"/>
          <w:lang w:eastAsia="zh-CN"/>
        </w:rPr>
        <w:t>一</w:t>
      </w:r>
      <w:r>
        <w:rPr>
          <w:rFonts w:hint="eastAsia" w:ascii="仿宋_GB2312" w:hAnsi="仿宋_GB2312" w:cs="仿宋_GB2312"/>
          <w:b/>
          <w:bCs/>
          <w:color w:val="auto"/>
        </w:rPr>
        <w:t>条</w:t>
      </w:r>
      <w:r>
        <w:rPr>
          <w:rFonts w:hint="eastAsia" w:ascii="仿宋_GB2312" w:hAnsi="仿宋_GB2312" w:cs="仿宋_GB2312"/>
          <w:color w:val="auto"/>
        </w:rPr>
        <w:t xml:space="preserve"> 参保</w:t>
      </w:r>
      <w:r>
        <w:rPr>
          <w:rFonts w:hint="eastAsia" w:ascii="仿宋_GB2312" w:hAnsi="仿宋_GB2312" w:cs="仿宋_GB2312"/>
          <w:color w:val="auto"/>
          <w:lang w:eastAsia="zh-CN"/>
        </w:rPr>
        <w:t>人员</w:t>
      </w:r>
      <w:r>
        <w:rPr>
          <w:rFonts w:hint="eastAsia" w:ascii="仿宋_GB2312" w:hAnsi="仿宋_GB2312" w:cs="仿宋_GB2312"/>
          <w:color w:val="auto"/>
        </w:rPr>
        <w:t>所发生的普通门诊医疗费用，个人应支付的，由参保</w:t>
      </w:r>
      <w:r>
        <w:rPr>
          <w:rFonts w:hint="eastAsia" w:ascii="仿宋_GB2312" w:hAnsi="仿宋_GB2312" w:cs="仿宋_GB2312"/>
          <w:color w:val="auto"/>
          <w:lang w:eastAsia="zh-CN"/>
        </w:rPr>
        <w:t>人员</w:t>
      </w:r>
      <w:r>
        <w:rPr>
          <w:rFonts w:hint="eastAsia" w:ascii="仿宋_GB2312" w:hAnsi="仿宋_GB2312" w:cs="仿宋_GB2312"/>
          <w:color w:val="auto"/>
        </w:rPr>
        <w:t>与定点医</w:t>
      </w:r>
      <w:r>
        <w:rPr>
          <w:rFonts w:hint="eastAsia" w:ascii="仿宋_GB2312" w:hAnsi="仿宋_GB2312" w:cs="仿宋_GB2312"/>
          <w:color w:val="auto"/>
          <w:lang w:eastAsia="zh-CN"/>
        </w:rPr>
        <w:t>药</w:t>
      </w:r>
      <w:r>
        <w:rPr>
          <w:rFonts w:hint="eastAsia" w:ascii="仿宋_GB2312" w:hAnsi="仿宋_GB2312" w:cs="仿宋_GB2312"/>
          <w:color w:val="auto"/>
        </w:rPr>
        <w:t>机构直接结算；应统筹基金支付的，由医疗保</w:t>
      </w:r>
      <w:r>
        <w:rPr>
          <w:rFonts w:hint="eastAsia" w:ascii="仿宋_GB2312" w:hAnsi="仿宋_GB2312" w:cs="仿宋_GB2312"/>
          <w:color w:val="auto"/>
          <w:lang w:eastAsia="zh-CN"/>
        </w:rPr>
        <w:t>障</w:t>
      </w:r>
      <w:r>
        <w:rPr>
          <w:rFonts w:hint="eastAsia" w:ascii="仿宋_GB2312" w:hAnsi="仿宋_GB2312" w:cs="仿宋_GB2312"/>
          <w:color w:val="auto"/>
        </w:rPr>
        <w:t>经办机构与定点医</w:t>
      </w:r>
      <w:r>
        <w:rPr>
          <w:rFonts w:hint="eastAsia" w:ascii="仿宋_GB2312" w:hAnsi="仿宋_GB2312" w:cs="仿宋_GB2312"/>
          <w:color w:val="auto"/>
          <w:lang w:eastAsia="zh-CN"/>
        </w:rPr>
        <w:t>药</w:t>
      </w:r>
      <w:r>
        <w:rPr>
          <w:rFonts w:hint="eastAsia" w:ascii="仿宋_GB2312" w:hAnsi="仿宋_GB2312" w:cs="仿宋_GB2312"/>
          <w:color w:val="auto"/>
        </w:rPr>
        <w:t>机构进行结算。</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jc w:val="both"/>
        <w:textAlignment w:val="auto"/>
        <w:outlineLvl w:val="9"/>
        <w:rPr>
          <w:rFonts w:hint="eastAsia" w:ascii="仿宋_GB2312" w:hAnsi="仿宋_GB2312" w:cs="仿宋_GB2312"/>
          <w:color w:val="auto"/>
        </w:rPr>
      </w:pPr>
      <w:r>
        <w:rPr>
          <w:rFonts w:hint="eastAsia" w:ascii="仿宋_GB2312" w:hAnsi="仿宋_GB2312" w:cs="仿宋_GB2312"/>
          <w:b/>
          <w:bCs/>
          <w:color w:val="auto"/>
        </w:rPr>
        <w:t>第十</w:t>
      </w:r>
      <w:r>
        <w:rPr>
          <w:rFonts w:hint="eastAsia" w:ascii="仿宋_GB2312" w:hAnsi="仿宋_GB2312" w:cs="仿宋_GB2312"/>
          <w:b/>
          <w:bCs/>
          <w:color w:val="auto"/>
          <w:lang w:eastAsia="zh-CN"/>
        </w:rPr>
        <w:t>二</w:t>
      </w:r>
      <w:r>
        <w:rPr>
          <w:rFonts w:hint="eastAsia" w:ascii="仿宋_GB2312" w:hAnsi="仿宋_GB2312" w:cs="仿宋_GB2312"/>
          <w:b/>
          <w:bCs/>
          <w:color w:val="auto"/>
        </w:rPr>
        <w:t>条</w:t>
      </w:r>
      <w:r>
        <w:rPr>
          <w:rFonts w:hint="eastAsia" w:ascii="仿宋_GB2312" w:hAnsi="仿宋_GB2312" w:cs="仿宋_GB2312"/>
          <w:color w:val="auto"/>
        </w:rPr>
        <w:t xml:space="preserve"> 参保</w:t>
      </w:r>
      <w:r>
        <w:rPr>
          <w:rFonts w:hint="eastAsia" w:ascii="仿宋_GB2312" w:hAnsi="仿宋_GB2312" w:cs="仿宋_GB2312"/>
          <w:color w:val="auto"/>
          <w:lang w:eastAsia="zh-CN"/>
        </w:rPr>
        <w:t>人员</w:t>
      </w:r>
      <w:r>
        <w:rPr>
          <w:rFonts w:hint="eastAsia" w:ascii="仿宋_GB2312" w:hAnsi="仿宋_GB2312" w:cs="仿宋_GB2312"/>
          <w:color w:val="auto"/>
        </w:rPr>
        <w:t>普通门诊使用乙类药品无需先行自付，</w:t>
      </w:r>
      <w:r>
        <w:rPr>
          <w:rFonts w:hint="eastAsia" w:ascii="CESI仿宋-GB2312" w:hAnsi="CESI仿宋-GB2312" w:eastAsia="CESI仿宋-GB2312" w:cs="CESI仿宋-GB2312"/>
          <w:color w:val="auto"/>
          <w:sz w:val="32"/>
          <w:szCs w:val="32"/>
          <w:lang w:val="en-US" w:eastAsia="zh-CN"/>
        </w:rPr>
        <w:t>使用国家谈判药品需先行自付10%。</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color w:val="auto"/>
        </w:rPr>
      </w:pPr>
      <w:r>
        <w:rPr>
          <w:rFonts w:hint="eastAsia" w:ascii="CESI仿宋-GB2312" w:hAnsi="CESI仿宋-GB2312" w:eastAsia="CESI仿宋-GB2312" w:cs="CESI仿宋-GB2312"/>
          <w:b/>
          <w:bCs/>
          <w:color w:val="auto"/>
          <w:sz w:val="32"/>
          <w:szCs w:val="32"/>
          <w:lang w:eastAsia="zh-CN"/>
        </w:rPr>
        <w:t>　　</w:t>
      </w:r>
      <w:r>
        <w:rPr>
          <w:rFonts w:hint="eastAsia" w:ascii="CESI仿宋-GB2312" w:hAnsi="CESI仿宋-GB2312" w:eastAsia="CESI仿宋-GB2312" w:cs="CESI仿宋-GB2312"/>
          <w:b/>
          <w:bCs/>
          <w:color w:val="auto"/>
          <w:sz w:val="32"/>
          <w:szCs w:val="32"/>
        </w:rPr>
        <w:t>第十</w:t>
      </w:r>
      <w:r>
        <w:rPr>
          <w:rFonts w:hint="eastAsia" w:ascii="CESI仿宋-GB2312" w:hAnsi="CESI仿宋-GB2312" w:eastAsia="CESI仿宋-GB2312" w:cs="CESI仿宋-GB2312"/>
          <w:b/>
          <w:bCs/>
          <w:color w:val="auto"/>
          <w:sz w:val="32"/>
          <w:szCs w:val="32"/>
          <w:lang w:eastAsia="zh-CN"/>
        </w:rPr>
        <w:t>三</w:t>
      </w:r>
      <w:r>
        <w:rPr>
          <w:rFonts w:hint="eastAsia" w:ascii="CESI仿宋-GB2312" w:hAnsi="CESI仿宋-GB2312" w:eastAsia="CESI仿宋-GB2312" w:cs="CESI仿宋-GB2312"/>
          <w:b/>
          <w:bCs/>
          <w:color w:val="auto"/>
          <w:sz w:val="32"/>
          <w:szCs w:val="32"/>
        </w:rPr>
        <w:t>条</w:t>
      </w:r>
      <w:r>
        <w:rPr>
          <w:rFonts w:hint="eastAsia" w:ascii="CESI仿宋-GB2312" w:hAnsi="CESI仿宋-GB2312" w:eastAsia="CESI仿宋-GB2312" w:cs="CESI仿宋-GB2312"/>
          <w:color w:val="auto"/>
          <w:sz w:val="32"/>
          <w:szCs w:val="32"/>
        </w:rPr>
        <w:t xml:space="preserve"> </w:t>
      </w:r>
      <w:r>
        <w:rPr>
          <w:rFonts w:hint="eastAsia" w:ascii="仿宋_GB2312" w:hAnsi="仿宋_GB2312" w:cs="仿宋_GB2312"/>
          <w:color w:val="auto"/>
          <w:lang w:val="en-US" w:eastAsia="zh-CN"/>
        </w:rPr>
        <w:t>异地就医人员，</w:t>
      </w:r>
      <w:r>
        <w:rPr>
          <w:rFonts w:hint="eastAsia" w:ascii="仿宋_GB2312" w:hAnsi="仿宋_GB2312" w:cs="仿宋_GB2312"/>
          <w:b w:val="0"/>
          <w:bCs w:val="0"/>
          <w:color w:val="auto"/>
          <w:lang w:val="en-US" w:eastAsia="zh-CN"/>
        </w:rPr>
        <w:t>普通门诊无需备案，不降低报销比例，</w:t>
      </w:r>
      <w:r>
        <w:rPr>
          <w:rFonts w:hint="eastAsia" w:ascii="仿宋_GB2312" w:hAnsi="仿宋_GB2312" w:cs="仿宋_GB2312"/>
          <w:color w:val="auto"/>
          <w:lang w:val="en-US" w:eastAsia="zh-CN"/>
        </w:rPr>
        <w:t>在就医地的基本医疗保险普通门诊异地定点医药机构就医，所发生的普通门诊医疗费用，就医地已实现普通门诊异地联网直接结算的，按规定实行即时结算；未实现异地联网直接结算的，由本人先行垫付，原则上自费用发生之日起二年内持医疗票据和医疗费用明细清单等相关材料到参保所在地医疗保障经办机构办理报销手续。</w:t>
      </w:r>
    </w:p>
    <w:p>
      <w:pPr>
        <w:widowControl/>
        <w:spacing w:line="560" w:lineRule="exact"/>
        <w:jc w:val="left"/>
        <w:rPr>
          <w:rFonts w:ascii="仿宋_GB2312" w:hAnsi="仿宋_GB2312" w:cs="仿宋_GB2312"/>
          <w:color w:val="auto"/>
          <w:kern w:val="0"/>
        </w:rPr>
      </w:pPr>
    </w:p>
    <w:p>
      <w:pPr>
        <w:widowControl/>
        <w:spacing w:line="560" w:lineRule="exact"/>
        <w:ind w:firstLine="640" w:firstLineChars="200"/>
        <w:jc w:val="center"/>
        <w:rPr>
          <w:rFonts w:hint="eastAsia" w:ascii="黑体" w:hAnsi="黑体" w:eastAsia="黑体" w:cs="黑体"/>
          <w:b/>
          <w:bCs/>
          <w:color w:val="auto"/>
          <w:kern w:val="0"/>
        </w:rPr>
      </w:pPr>
      <w:r>
        <w:rPr>
          <w:rFonts w:hint="eastAsia" w:ascii="黑体" w:hAnsi="黑体" w:eastAsia="黑体" w:cs="黑体"/>
          <w:b w:val="0"/>
          <w:bCs w:val="0"/>
          <w:color w:val="auto"/>
          <w:kern w:val="0"/>
        </w:rPr>
        <w:t>第五章</w:t>
      </w:r>
      <w:r>
        <w:rPr>
          <w:rFonts w:hint="eastAsia" w:ascii="黑体" w:hAnsi="黑体" w:eastAsia="黑体" w:cs="黑体"/>
          <w:b/>
          <w:bCs/>
          <w:color w:val="auto"/>
          <w:kern w:val="0"/>
        </w:rPr>
        <w:t xml:space="preserve"> </w:t>
      </w:r>
      <w:r>
        <w:rPr>
          <w:rFonts w:hint="eastAsia" w:ascii="黑体" w:hAnsi="黑体" w:eastAsia="黑体" w:cs="黑体"/>
          <w:color w:val="auto"/>
          <w:kern w:val="0"/>
        </w:rPr>
        <w:t>服务管理</w:t>
      </w:r>
    </w:p>
    <w:p>
      <w:pPr>
        <w:widowControl/>
        <w:spacing w:line="560" w:lineRule="exact"/>
        <w:ind w:firstLine="640" w:firstLineChars="200"/>
        <w:jc w:val="left"/>
        <w:rPr>
          <w:rFonts w:ascii="仿宋_GB2312" w:hAnsi="仿宋_GB2312" w:cs="仿宋_GB2312"/>
          <w:color w:val="auto"/>
          <w:kern w:val="0"/>
        </w:rPr>
      </w:pP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第十</w:t>
      </w:r>
      <w:r>
        <w:rPr>
          <w:rFonts w:hint="eastAsia" w:ascii="仿宋_GB2312" w:hAnsi="仿宋_GB2312" w:cs="仿宋_GB2312"/>
          <w:b/>
          <w:bCs/>
          <w:color w:val="auto"/>
          <w:lang w:eastAsia="zh-CN"/>
        </w:rPr>
        <w:t>四</w:t>
      </w:r>
      <w:r>
        <w:rPr>
          <w:rFonts w:hint="eastAsia" w:ascii="仿宋_GB2312" w:hAnsi="仿宋_GB2312" w:cs="仿宋_GB2312"/>
          <w:b/>
          <w:bCs/>
          <w:color w:val="auto"/>
        </w:rPr>
        <w:t>条</w:t>
      </w:r>
      <w:r>
        <w:rPr>
          <w:rFonts w:hint="eastAsia" w:ascii="仿宋_GB2312" w:hAnsi="仿宋_GB2312" w:cs="仿宋_GB2312"/>
          <w:color w:val="auto"/>
        </w:rPr>
        <w:t xml:space="preserve"> 普通门诊定点医</w:t>
      </w:r>
      <w:r>
        <w:rPr>
          <w:rFonts w:hint="eastAsia" w:ascii="仿宋_GB2312" w:hAnsi="仿宋_GB2312" w:cs="仿宋_GB2312"/>
          <w:color w:val="auto"/>
          <w:lang w:eastAsia="zh-CN"/>
        </w:rPr>
        <w:t>药</w:t>
      </w:r>
      <w:r>
        <w:rPr>
          <w:rFonts w:hint="eastAsia" w:ascii="仿宋_GB2312" w:hAnsi="仿宋_GB2312" w:cs="仿宋_GB2312"/>
          <w:color w:val="auto"/>
        </w:rPr>
        <w:t>机构应严格执行首诊负责制和因病施治的原则，坚持以病人为中心，规范诊疗，合理检查、合理治疗、合理用药、合理收费。</w:t>
      </w:r>
    </w:p>
    <w:p>
      <w:pPr>
        <w:ind w:firstLine="640" w:firstLineChars="200"/>
        <w:rPr>
          <w:rFonts w:hint="eastAsia" w:ascii="仿宋_GB2312" w:hAnsi="仿宋_GB2312" w:cs="仿宋_GB2312"/>
          <w:color w:val="auto"/>
        </w:rPr>
      </w:pPr>
      <w:r>
        <w:rPr>
          <w:rFonts w:hint="eastAsia" w:ascii="仿宋_GB2312" w:hAnsi="仿宋_GB2312" w:cs="仿宋_GB2312"/>
          <w:color w:val="auto"/>
        </w:rPr>
        <w:t>普通门诊用药，应优先选用目录甲类药品，优先选用国家基本药物，优先选用通过一致性评价的品种，优先选用集中招标采购中选药品。不得以费用控制、药占比、医疗机构用药品种规格数量、药事委员会评审等为由，影响药品的合理使用和供应保障。</w:t>
      </w:r>
    </w:p>
    <w:p>
      <w:pPr>
        <w:spacing w:line="560" w:lineRule="exact"/>
        <w:ind w:firstLine="643" w:firstLineChars="200"/>
        <w:rPr>
          <w:rFonts w:hint="eastAsia" w:ascii="仿宋_GB2312" w:hAnsi="仿宋_GB2312" w:cs="仿宋_GB2312"/>
          <w:color w:val="auto"/>
        </w:rPr>
      </w:pPr>
      <w:r>
        <w:rPr>
          <w:rFonts w:hint="eastAsia" w:ascii="仿宋_GB2312" w:hAnsi="仿宋_GB2312" w:cs="仿宋_GB2312"/>
          <w:b/>
          <w:bCs/>
          <w:color w:val="auto"/>
        </w:rPr>
        <w:t>第十</w:t>
      </w:r>
      <w:r>
        <w:rPr>
          <w:rFonts w:hint="eastAsia" w:ascii="仿宋_GB2312" w:hAnsi="仿宋_GB2312" w:cs="仿宋_GB2312"/>
          <w:b/>
          <w:bCs/>
          <w:color w:val="auto"/>
          <w:lang w:eastAsia="zh-CN"/>
        </w:rPr>
        <w:t>五</w:t>
      </w:r>
      <w:r>
        <w:rPr>
          <w:rFonts w:hint="eastAsia" w:ascii="仿宋_GB2312" w:hAnsi="仿宋_GB2312" w:cs="仿宋_GB2312"/>
          <w:b/>
          <w:bCs/>
          <w:color w:val="auto"/>
        </w:rPr>
        <w:t>条</w:t>
      </w:r>
      <w:r>
        <w:rPr>
          <w:rFonts w:hint="eastAsia" w:ascii="仿宋_GB2312" w:hAnsi="仿宋_GB2312" w:cs="仿宋_GB2312"/>
          <w:color w:val="auto"/>
        </w:rPr>
        <w:t xml:space="preserve"> 普通门诊定点医</w:t>
      </w:r>
      <w:r>
        <w:rPr>
          <w:rFonts w:hint="eastAsia" w:ascii="仿宋_GB2312" w:hAnsi="仿宋_GB2312" w:cs="仿宋_GB2312"/>
          <w:color w:val="auto"/>
          <w:lang w:eastAsia="zh-CN"/>
        </w:rPr>
        <w:t>药</w:t>
      </w:r>
      <w:r>
        <w:rPr>
          <w:rFonts w:hint="eastAsia" w:ascii="仿宋_GB2312" w:hAnsi="仿宋_GB2312" w:cs="仿宋_GB2312"/>
          <w:color w:val="auto"/>
        </w:rPr>
        <w:t>机构应</w:t>
      </w:r>
      <w:r>
        <w:rPr>
          <w:rFonts w:hint="eastAsia" w:ascii="仿宋_GB2312" w:hAnsi="仿宋_GB2312" w:cs="仿宋_GB2312"/>
          <w:color w:val="auto"/>
          <w:lang w:eastAsia="zh-CN"/>
        </w:rPr>
        <w:t>执行明确标价收费标准和费用清单制度</w:t>
      </w:r>
      <w:r>
        <w:rPr>
          <w:rFonts w:hint="eastAsia" w:ascii="仿宋_GB2312" w:hAnsi="仿宋_GB2312" w:cs="仿宋_GB2312"/>
          <w:color w:val="auto"/>
        </w:rPr>
        <w:t>。每月公布本医</w:t>
      </w:r>
      <w:r>
        <w:rPr>
          <w:rFonts w:hint="eastAsia" w:ascii="仿宋_GB2312" w:hAnsi="仿宋_GB2312" w:cs="仿宋_GB2312"/>
          <w:color w:val="auto"/>
          <w:lang w:eastAsia="zh-CN"/>
        </w:rPr>
        <w:t>药</w:t>
      </w:r>
      <w:r>
        <w:rPr>
          <w:rFonts w:hint="eastAsia" w:ascii="仿宋_GB2312" w:hAnsi="仿宋_GB2312" w:cs="仿宋_GB2312"/>
          <w:color w:val="auto"/>
        </w:rPr>
        <w:t>机构普通门诊医疗费用执行情况，自觉接受社会监督。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0"/>
        <w:textAlignment w:val="auto"/>
        <w:rPr>
          <w:rFonts w:hint="eastAsia" w:ascii="仿宋_GB2312" w:hAnsi="仿宋_GB2312" w:cs="仿宋_GB2312"/>
          <w:color w:val="auto"/>
        </w:rPr>
      </w:pPr>
      <w:r>
        <w:rPr>
          <w:rFonts w:hint="eastAsia" w:ascii="仿宋_GB2312" w:hAnsi="仿宋_GB2312" w:cs="仿宋_GB2312"/>
          <w:b/>
          <w:bCs/>
          <w:color w:val="auto"/>
          <w:sz w:val="32"/>
          <w:szCs w:val="32"/>
          <w:lang w:eastAsia="zh-CN"/>
        </w:rPr>
        <w:t>　　</w:t>
      </w:r>
      <w:r>
        <w:rPr>
          <w:rFonts w:hint="eastAsia" w:ascii="仿宋_GB2312" w:hAnsi="仿宋_GB2312" w:cs="仿宋_GB2312"/>
          <w:b/>
          <w:bCs/>
          <w:color w:val="auto"/>
          <w:sz w:val="32"/>
          <w:szCs w:val="32"/>
        </w:rPr>
        <w:t>第十</w:t>
      </w:r>
      <w:r>
        <w:rPr>
          <w:rFonts w:hint="eastAsia" w:ascii="仿宋_GB2312" w:hAnsi="仿宋_GB2312" w:cs="仿宋_GB2312"/>
          <w:b/>
          <w:bCs/>
          <w:color w:val="auto"/>
          <w:sz w:val="32"/>
          <w:szCs w:val="32"/>
          <w:lang w:eastAsia="zh-CN"/>
        </w:rPr>
        <w:t>六</w:t>
      </w:r>
      <w:r>
        <w:rPr>
          <w:rFonts w:hint="eastAsia" w:ascii="仿宋_GB2312" w:hAnsi="仿宋_GB2312" w:cs="仿宋_GB2312"/>
          <w:b/>
          <w:bCs/>
          <w:color w:val="auto"/>
          <w:sz w:val="32"/>
          <w:szCs w:val="32"/>
        </w:rPr>
        <w:t>条</w:t>
      </w:r>
      <w:r>
        <w:rPr>
          <w:rFonts w:hint="eastAsia" w:ascii="仿宋_GB2312" w:hAnsi="仿宋_GB2312" w:cs="仿宋_GB2312"/>
          <w:color w:val="auto"/>
          <w:sz w:val="32"/>
          <w:szCs w:val="32"/>
        </w:rPr>
        <w:t xml:space="preserve"> </w:t>
      </w:r>
      <w:r>
        <w:rPr>
          <w:rFonts w:hint="eastAsia" w:ascii="CESI仿宋-GB2312" w:hAnsi="CESI仿宋-GB2312" w:eastAsia="CESI仿宋-GB2312" w:cs="CESI仿宋-GB2312"/>
          <w:i w:val="0"/>
          <w:caps w:val="0"/>
          <w:color w:val="auto"/>
          <w:spacing w:val="0"/>
          <w:sz w:val="32"/>
          <w:szCs w:val="32"/>
        </w:rPr>
        <w:t>参保</w:t>
      </w:r>
      <w:r>
        <w:rPr>
          <w:rFonts w:hint="eastAsia" w:ascii="CESI仿宋-GB2312" w:hAnsi="CESI仿宋-GB2312" w:eastAsia="CESI仿宋-GB2312" w:cs="CESI仿宋-GB2312"/>
          <w:i w:val="0"/>
          <w:caps w:val="0"/>
          <w:color w:val="auto"/>
          <w:spacing w:val="0"/>
          <w:sz w:val="32"/>
          <w:szCs w:val="32"/>
          <w:lang w:eastAsia="zh-CN"/>
        </w:rPr>
        <w:t>人员</w:t>
      </w:r>
      <w:r>
        <w:rPr>
          <w:rFonts w:hint="eastAsia" w:ascii="CESI仿宋-GB2312" w:hAnsi="CESI仿宋-GB2312" w:eastAsia="CESI仿宋-GB2312" w:cs="CESI仿宋-GB2312"/>
          <w:i w:val="0"/>
          <w:caps w:val="0"/>
          <w:color w:val="auto"/>
          <w:spacing w:val="0"/>
          <w:sz w:val="32"/>
          <w:szCs w:val="32"/>
        </w:rPr>
        <w:t>在定点医药机构门诊就医</w:t>
      </w:r>
      <w:r>
        <w:rPr>
          <w:rFonts w:hint="eastAsia" w:ascii="CESI仿宋-GB2312" w:hAnsi="CESI仿宋-GB2312" w:eastAsia="CESI仿宋-GB2312" w:cs="CESI仿宋-GB2312"/>
          <w:i w:val="0"/>
          <w:caps w:val="0"/>
          <w:color w:val="auto"/>
          <w:spacing w:val="0"/>
          <w:sz w:val="32"/>
          <w:szCs w:val="32"/>
          <w:lang w:eastAsia="zh-CN"/>
        </w:rPr>
        <w:t>、</w:t>
      </w:r>
      <w:r>
        <w:rPr>
          <w:rFonts w:hint="eastAsia" w:ascii="CESI仿宋-GB2312" w:hAnsi="CESI仿宋-GB2312" w:eastAsia="CESI仿宋-GB2312" w:cs="CESI仿宋-GB2312"/>
          <w:i w:val="0"/>
          <w:caps w:val="0"/>
          <w:color w:val="auto"/>
          <w:spacing w:val="0"/>
          <w:sz w:val="32"/>
          <w:szCs w:val="32"/>
        </w:rPr>
        <w:t>购药时，需</w:t>
      </w:r>
      <w:r>
        <w:rPr>
          <w:rFonts w:hint="eastAsia" w:ascii="CESI仿宋-GB2312" w:hAnsi="CESI仿宋-GB2312" w:eastAsia="CESI仿宋-GB2312" w:cs="CESI仿宋-GB2312"/>
          <w:i w:val="0"/>
          <w:caps w:val="0"/>
          <w:color w:val="auto"/>
          <w:spacing w:val="0"/>
          <w:sz w:val="32"/>
          <w:szCs w:val="32"/>
          <w:lang w:eastAsia="zh-CN"/>
        </w:rPr>
        <w:t>凭</w:t>
      </w:r>
      <w:r>
        <w:rPr>
          <w:rFonts w:hint="eastAsia" w:ascii="CESI仿宋-GB2312" w:hAnsi="CESI仿宋-GB2312" w:eastAsia="CESI仿宋-GB2312" w:cs="CESI仿宋-GB2312"/>
          <w:i w:val="0"/>
          <w:caps w:val="0"/>
          <w:color w:val="auto"/>
          <w:spacing w:val="0"/>
          <w:sz w:val="32"/>
          <w:szCs w:val="32"/>
        </w:rPr>
        <w:t>医保电子凭证</w:t>
      </w:r>
      <w:r>
        <w:rPr>
          <w:rFonts w:hint="eastAsia" w:ascii="CESI仿宋-GB2312" w:hAnsi="CESI仿宋-GB2312" w:eastAsia="CESI仿宋-GB2312" w:cs="CESI仿宋-GB2312"/>
          <w:i w:val="0"/>
          <w:caps w:val="0"/>
          <w:color w:val="auto"/>
          <w:spacing w:val="0"/>
          <w:sz w:val="32"/>
          <w:szCs w:val="32"/>
          <w:lang w:eastAsia="zh-CN"/>
        </w:rPr>
        <w:t>、</w:t>
      </w:r>
      <w:r>
        <w:rPr>
          <w:rFonts w:hint="eastAsia" w:ascii="CESI仿宋-GB2312" w:hAnsi="CESI仿宋-GB2312" w:eastAsia="CESI仿宋-GB2312" w:cs="CESI仿宋-GB2312"/>
          <w:i w:val="0"/>
          <w:caps w:val="0"/>
          <w:color w:val="auto"/>
          <w:spacing w:val="0"/>
          <w:sz w:val="32"/>
          <w:szCs w:val="32"/>
        </w:rPr>
        <w:t>社会保障卡或居民身份证</w:t>
      </w:r>
      <w:r>
        <w:rPr>
          <w:rFonts w:hint="eastAsia" w:ascii="CESI仿宋-GB2312" w:hAnsi="CESI仿宋-GB2312" w:eastAsia="CESI仿宋-GB2312" w:cs="CESI仿宋-GB2312"/>
          <w:i w:val="0"/>
          <w:caps w:val="0"/>
          <w:color w:val="auto"/>
          <w:spacing w:val="0"/>
          <w:sz w:val="32"/>
          <w:szCs w:val="32"/>
          <w:lang w:eastAsia="zh-CN"/>
        </w:rPr>
        <w:t>等医疗保障有效凭证</w:t>
      </w:r>
      <w:r>
        <w:rPr>
          <w:rFonts w:hint="eastAsia" w:ascii="CESI仿宋-GB2312" w:hAnsi="CESI仿宋-GB2312" w:eastAsia="CESI仿宋-GB2312" w:cs="CESI仿宋-GB2312"/>
          <w:i w:val="0"/>
          <w:caps w:val="0"/>
          <w:color w:val="auto"/>
          <w:spacing w:val="0"/>
          <w:sz w:val="32"/>
          <w:szCs w:val="32"/>
        </w:rPr>
        <w:t>，自觉</w:t>
      </w:r>
      <w:r>
        <w:rPr>
          <w:rFonts w:hint="eastAsia" w:ascii="CESI仿宋-GB2312" w:hAnsi="CESI仿宋-GB2312" w:eastAsia="CESI仿宋-GB2312" w:cs="CESI仿宋-GB2312"/>
          <w:i w:val="0"/>
          <w:caps w:val="0"/>
          <w:color w:val="auto"/>
          <w:spacing w:val="0"/>
          <w:sz w:val="32"/>
          <w:szCs w:val="32"/>
          <w:lang w:eastAsia="zh-CN"/>
        </w:rPr>
        <w:t>遵守医疗保障</w:t>
      </w:r>
      <w:r>
        <w:rPr>
          <w:rFonts w:hint="eastAsia" w:ascii="CESI仿宋-GB2312" w:hAnsi="CESI仿宋-GB2312" w:eastAsia="CESI仿宋-GB2312" w:cs="CESI仿宋-GB2312"/>
          <w:i w:val="0"/>
          <w:caps w:val="0"/>
          <w:color w:val="auto"/>
          <w:spacing w:val="0"/>
          <w:sz w:val="32"/>
          <w:szCs w:val="32"/>
        </w:rPr>
        <w:t>相关规定。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0"/>
        <w:textAlignment w:val="auto"/>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lang w:eastAsia="zh-CN"/>
        </w:rPr>
        <w:t>　</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textAlignment w:val="auto"/>
        <w:rPr>
          <w:rFonts w:hint="eastAsia" w:ascii="CESI仿宋-GB2312" w:hAnsi="CESI仿宋-GB2312" w:eastAsia="CESI仿宋-GB2312" w:cs="CESI仿宋-GB2312"/>
          <w:color w:val="auto"/>
          <w:sz w:val="32"/>
          <w:szCs w:val="32"/>
        </w:rPr>
      </w:pPr>
    </w:p>
    <w:p>
      <w:pPr>
        <w:widowControl/>
        <w:spacing w:line="560" w:lineRule="exact"/>
        <w:jc w:val="center"/>
        <w:rPr>
          <w:rFonts w:hint="eastAsia" w:ascii="黑体" w:hAnsi="黑体" w:eastAsia="黑体" w:cs="黑体"/>
          <w:color w:val="auto"/>
          <w:kern w:val="0"/>
        </w:rPr>
      </w:pPr>
      <w:r>
        <w:rPr>
          <w:rFonts w:hint="eastAsia" w:ascii="黑体" w:hAnsi="黑体" w:eastAsia="黑体" w:cs="黑体"/>
          <w:b w:val="0"/>
          <w:bCs w:val="0"/>
          <w:color w:val="auto"/>
          <w:kern w:val="0"/>
        </w:rPr>
        <w:t>第六章</w:t>
      </w:r>
      <w:r>
        <w:rPr>
          <w:rFonts w:hint="eastAsia" w:ascii="黑体" w:hAnsi="黑体" w:eastAsia="黑体" w:cs="黑体"/>
          <w:color w:val="auto"/>
          <w:kern w:val="0"/>
        </w:rPr>
        <w:t xml:space="preserve"> 基金监督</w:t>
      </w:r>
    </w:p>
    <w:p>
      <w:pPr>
        <w:widowControl/>
        <w:spacing w:line="560" w:lineRule="exact"/>
        <w:jc w:val="left"/>
        <w:rPr>
          <w:rFonts w:ascii="仿宋_GB2312" w:hAnsi="仿宋_GB2312" w:cs="仿宋_GB2312"/>
          <w:color w:val="auto"/>
          <w:kern w:val="0"/>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590"/>
        <w:textAlignment w:val="auto"/>
        <w:rPr>
          <w:rFonts w:hint="default" w:ascii="Times New Roman" w:hAnsi="Times New Roman" w:cs="Times New Roman"/>
          <w:i w:val="0"/>
          <w:caps w:val="0"/>
          <w:color w:val="auto"/>
          <w:spacing w:val="0"/>
          <w:sz w:val="32"/>
          <w:szCs w:val="32"/>
        </w:rPr>
      </w:pPr>
      <w:r>
        <w:rPr>
          <w:rFonts w:hint="eastAsia" w:ascii="仿宋_GB2312" w:hAnsi="仿宋_GB2312" w:cs="仿宋_GB2312"/>
          <w:b/>
          <w:bCs/>
          <w:color w:val="auto"/>
          <w:sz w:val="32"/>
          <w:szCs w:val="32"/>
        </w:rPr>
        <w:t>第十</w:t>
      </w:r>
      <w:r>
        <w:rPr>
          <w:rFonts w:hint="eastAsia" w:ascii="仿宋_GB2312" w:hAnsi="仿宋_GB2312" w:cs="仿宋_GB2312"/>
          <w:b/>
          <w:bCs/>
          <w:color w:val="auto"/>
          <w:sz w:val="32"/>
          <w:szCs w:val="32"/>
          <w:lang w:eastAsia="zh-CN"/>
        </w:rPr>
        <w:t>七</w:t>
      </w:r>
      <w:r>
        <w:rPr>
          <w:rFonts w:hint="eastAsia" w:ascii="仿宋_GB2312" w:hAnsi="仿宋_GB2312" w:cs="仿宋_GB2312"/>
          <w:b/>
          <w:bCs/>
          <w:color w:val="auto"/>
          <w:sz w:val="32"/>
          <w:szCs w:val="32"/>
        </w:rPr>
        <w:t>条</w:t>
      </w:r>
      <w:r>
        <w:rPr>
          <w:rFonts w:hint="eastAsia" w:ascii="仿宋_GB2312" w:hAnsi="仿宋_GB2312" w:cs="仿宋_GB2312"/>
          <w:color w:val="auto"/>
          <w:sz w:val="32"/>
          <w:szCs w:val="32"/>
        </w:rPr>
        <w:t xml:space="preserve"> </w:t>
      </w:r>
      <w:r>
        <w:rPr>
          <w:rFonts w:hint="default" w:ascii="Times New Roman" w:hAnsi="Times New Roman" w:cs="Times New Roman"/>
          <w:i w:val="0"/>
          <w:caps w:val="0"/>
          <w:color w:val="auto"/>
          <w:spacing w:val="0"/>
          <w:sz w:val="32"/>
          <w:szCs w:val="32"/>
        </w:rPr>
        <w:t xml:space="preserve"> 各级医疗保障行政部门依据法律法规对</w:t>
      </w:r>
      <w:r>
        <w:rPr>
          <w:rFonts w:hint="eastAsia" w:cs="Times New Roman"/>
          <w:i w:val="0"/>
          <w:caps w:val="0"/>
          <w:color w:val="auto"/>
          <w:spacing w:val="0"/>
          <w:sz w:val="32"/>
          <w:szCs w:val="32"/>
          <w:lang w:eastAsia="zh-CN"/>
        </w:rPr>
        <w:t>城乡居民</w:t>
      </w:r>
      <w:r>
        <w:rPr>
          <w:rFonts w:hint="default" w:ascii="Times New Roman" w:hAnsi="Times New Roman" w:cs="Times New Roman"/>
          <w:i w:val="0"/>
          <w:caps w:val="0"/>
          <w:color w:val="auto"/>
          <w:spacing w:val="0"/>
          <w:sz w:val="32"/>
          <w:szCs w:val="32"/>
        </w:rPr>
        <w:t>普通门诊进行监督管理。将医疗保</w:t>
      </w:r>
      <w:r>
        <w:rPr>
          <w:rFonts w:hint="eastAsia" w:cs="Times New Roman"/>
          <w:i w:val="0"/>
          <w:caps w:val="0"/>
          <w:color w:val="auto"/>
          <w:spacing w:val="0"/>
          <w:sz w:val="32"/>
          <w:szCs w:val="32"/>
          <w:lang w:eastAsia="zh-CN"/>
        </w:rPr>
        <w:t>障</w:t>
      </w:r>
      <w:r>
        <w:rPr>
          <w:rFonts w:hint="default" w:ascii="Times New Roman" w:hAnsi="Times New Roman" w:cs="Times New Roman"/>
          <w:i w:val="0"/>
          <w:caps w:val="0"/>
          <w:color w:val="auto"/>
          <w:spacing w:val="0"/>
          <w:sz w:val="32"/>
          <w:szCs w:val="32"/>
        </w:rPr>
        <w:t>经办机构、定点医药机构、医保</w:t>
      </w:r>
      <w:r>
        <w:rPr>
          <w:rFonts w:hint="eastAsia" w:cs="Times New Roman"/>
          <w:i w:val="0"/>
          <w:caps w:val="0"/>
          <w:color w:val="auto"/>
          <w:spacing w:val="0"/>
          <w:sz w:val="32"/>
          <w:szCs w:val="32"/>
          <w:lang w:eastAsia="zh-CN"/>
        </w:rPr>
        <w:t>协议</w:t>
      </w:r>
      <w:r>
        <w:rPr>
          <w:rFonts w:hint="default" w:ascii="Times New Roman" w:hAnsi="Times New Roman" w:cs="Times New Roman"/>
          <w:i w:val="0"/>
          <w:caps w:val="0"/>
          <w:color w:val="auto"/>
          <w:spacing w:val="0"/>
          <w:sz w:val="32"/>
          <w:szCs w:val="32"/>
        </w:rPr>
        <w:t>医师、</w:t>
      </w:r>
      <w:r>
        <w:rPr>
          <w:rFonts w:hint="eastAsia" w:cs="Times New Roman"/>
          <w:i w:val="0"/>
          <w:caps w:val="0"/>
          <w:color w:val="auto"/>
          <w:spacing w:val="0"/>
          <w:sz w:val="32"/>
          <w:szCs w:val="32"/>
          <w:lang w:eastAsia="zh-CN"/>
        </w:rPr>
        <w:t>技师、</w:t>
      </w:r>
      <w:r>
        <w:rPr>
          <w:rFonts w:hint="default" w:ascii="Times New Roman" w:hAnsi="Times New Roman" w:cs="Times New Roman"/>
          <w:i w:val="0"/>
          <w:caps w:val="0"/>
          <w:color w:val="auto"/>
          <w:spacing w:val="0"/>
          <w:sz w:val="32"/>
          <w:szCs w:val="32"/>
        </w:rPr>
        <w:t>相关工作人员，以及参保人员纳入医保信用体系管理。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590"/>
        <w:textAlignment w:val="auto"/>
        <w:rPr>
          <w:rFonts w:hint="eastAsia" w:ascii="CESI仿宋-GB2312" w:hAnsi="CESI仿宋-GB2312" w:eastAsia="CESI仿宋-GB2312" w:cs="CESI仿宋-GB2312"/>
          <w:i w:val="0"/>
          <w:caps w:val="0"/>
          <w:color w:val="auto"/>
          <w:spacing w:val="0"/>
          <w:sz w:val="32"/>
          <w:szCs w:val="32"/>
        </w:rPr>
      </w:pPr>
      <w:r>
        <w:rPr>
          <w:rFonts w:hint="eastAsia" w:ascii="仿宋_GB2312" w:hAnsi="仿宋_GB2312" w:cs="仿宋_GB2312"/>
          <w:b/>
          <w:bCs/>
          <w:color w:val="auto"/>
          <w:sz w:val="32"/>
          <w:szCs w:val="32"/>
        </w:rPr>
        <w:t>第十</w:t>
      </w:r>
      <w:r>
        <w:rPr>
          <w:rFonts w:hint="eastAsia" w:ascii="仿宋_GB2312" w:hAnsi="仿宋_GB2312" w:cs="仿宋_GB2312"/>
          <w:b/>
          <w:bCs/>
          <w:color w:val="auto"/>
          <w:sz w:val="32"/>
          <w:szCs w:val="32"/>
          <w:lang w:eastAsia="zh-CN"/>
        </w:rPr>
        <w:t>八</w:t>
      </w:r>
      <w:r>
        <w:rPr>
          <w:rFonts w:hint="eastAsia" w:ascii="仿宋_GB2312" w:hAnsi="仿宋_GB2312" w:cs="仿宋_GB2312"/>
          <w:b/>
          <w:bCs/>
          <w:color w:val="auto"/>
          <w:sz w:val="32"/>
          <w:szCs w:val="32"/>
        </w:rPr>
        <w:t>条</w:t>
      </w:r>
      <w:r>
        <w:rPr>
          <w:rFonts w:hint="eastAsia" w:ascii="仿宋_GB2312" w:hAnsi="仿宋_GB2312" w:cs="仿宋_GB2312"/>
          <w:color w:val="auto"/>
          <w:sz w:val="32"/>
          <w:szCs w:val="32"/>
        </w:rPr>
        <w:t xml:space="preserve"> </w:t>
      </w:r>
      <w:r>
        <w:rPr>
          <w:rFonts w:hint="default" w:ascii="Times New Roman" w:hAnsi="Times New Roman" w:cs="Times New Roman"/>
          <w:i w:val="0"/>
          <w:caps w:val="0"/>
          <w:color w:val="auto"/>
          <w:spacing w:val="0"/>
          <w:sz w:val="32"/>
          <w:szCs w:val="32"/>
        </w:rPr>
        <w:t>各级医疗保</w:t>
      </w:r>
      <w:r>
        <w:rPr>
          <w:rFonts w:hint="eastAsia" w:cs="Times New Roman"/>
          <w:i w:val="0"/>
          <w:caps w:val="0"/>
          <w:color w:val="auto"/>
          <w:spacing w:val="0"/>
          <w:sz w:val="32"/>
          <w:szCs w:val="32"/>
          <w:lang w:eastAsia="zh-CN"/>
        </w:rPr>
        <w:t>障</w:t>
      </w:r>
      <w:r>
        <w:rPr>
          <w:rFonts w:hint="default" w:ascii="Times New Roman" w:hAnsi="Times New Roman" w:cs="Times New Roman"/>
          <w:i w:val="0"/>
          <w:caps w:val="0"/>
          <w:color w:val="auto"/>
          <w:spacing w:val="0"/>
          <w:sz w:val="32"/>
          <w:szCs w:val="32"/>
        </w:rPr>
        <w:t>经办机构依据海南省基本医疗保</w:t>
      </w:r>
      <w:r>
        <w:rPr>
          <w:rFonts w:hint="eastAsia" w:cs="Times New Roman"/>
          <w:i w:val="0"/>
          <w:caps w:val="0"/>
          <w:color w:val="auto"/>
          <w:spacing w:val="0"/>
          <w:sz w:val="32"/>
          <w:szCs w:val="32"/>
          <w:lang w:eastAsia="zh-CN"/>
        </w:rPr>
        <w:t>障</w:t>
      </w:r>
      <w:r>
        <w:rPr>
          <w:rFonts w:hint="default" w:ascii="Times New Roman" w:hAnsi="Times New Roman" w:cs="Times New Roman"/>
          <w:i w:val="0"/>
          <w:caps w:val="0"/>
          <w:color w:val="auto"/>
          <w:spacing w:val="0"/>
          <w:sz w:val="32"/>
          <w:szCs w:val="32"/>
        </w:rPr>
        <w:t>定点医药机构服务协议，对定点医药机构进行监督检查和考核，并将考核结果与年度清算挂勾。</w:t>
      </w:r>
    </w:p>
    <w:p>
      <w:pPr>
        <w:pStyle w:val="4"/>
        <w:keepNext w:val="0"/>
        <w:keepLines w:val="0"/>
        <w:widowControl/>
        <w:suppressLineNumbers w:val="0"/>
        <w:ind w:left="0" w:firstLine="0"/>
        <w:jc w:val="center"/>
        <w:rPr>
          <w:rFonts w:hint="eastAsia" w:ascii="CESI黑体-GB2312" w:hAnsi="CESI黑体-GB2312" w:eastAsia="CESI黑体-GB2312" w:cs="CESI黑体-GB2312"/>
          <w:b w:val="0"/>
          <w:bCs w:val="0"/>
          <w:i w:val="0"/>
          <w:caps w:val="0"/>
          <w:color w:val="auto"/>
          <w:spacing w:val="0"/>
          <w:sz w:val="32"/>
          <w:szCs w:val="32"/>
        </w:rPr>
      </w:pPr>
      <w:r>
        <w:rPr>
          <w:rFonts w:hint="eastAsia" w:ascii="CESI黑体-GB2312" w:hAnsi="CESI黑体-GB2312" w:eastAsia="CESI黑体-GB2312" w:cs="CESI黑体-GB2312"/>
          <w:b w:val="0"/>
          <w:bCs w:val="0"/>
          <w:i w:val="0"/>
          <w:caps w:val="0"/>
          <w:color w:val="auto"/>
          <w:spacing w:val="0"/>
          <w:sz w:val="32"/>
          <w:szCs w:val="32"/>
        </w:rPr>
        <w:t>第七章 法律责任</w:t>
      </w:r>
    </w:p>
    <w:p>
      <w:pPr>
        <w:pStyle w:val="4"/>
        <w:keepNext w:val="0"/>
        <w:keepLines w:val="0"/>
        <w:widowControl/>
        <w:suppressLineNumbers w:val="0"/>
        <w:ind w:left="0" w:firstLine="0"/>
        <w:rPr>
          <w:rFonts w:hint="eastAsia" w:ascii="仿宋_GB2312" w:hAnsi="仿宋" w:eastAsia="仿宋_GB2312" w:cs="宋体"/>
          <w:b/>
          <w:bCs/>
          <w:color w:val="auto"/>
          <w:sz w:val="32"/>
          <w:szCs w:val="32"/>
          <w:lang w:eastAsia="zh-CN"/>
        </w:rPr>
      </w:pPr>
      <w:r>
        <w:rPr>
          <w:rFonts w:hint="eastAsia" w:ascii="CESI仿宋-GB2312" w:hAnsi="CESI仿宋-GB2312" w:eastAsia="CESI仿宋-GB2312" w:cs="CESI仿宋-GB2312"/>
          <w:i w:val="0"/>
          <w:caps w:val="0"/>
          <w:color w:val="auto"/>
          <w:spacing w:val="0"/>
          <w:sz w:val="32"/>
          <w:szCs w:val="32"/>
          <w:lang w:eastAsia="zh-CN"/>
        </w:rPr>
        <w:t>　</w:t>
      </w:r>
      <w:r>
        <w:rPr>
          <w:rFonts w:hint="eastAsia" w:ascii="仿宋_GB2312" w:hAnsi="仿宋_GB2312" w:cs="仿宋_GB2312"/>
          <w:b/>
          <w:bCs/>
          <w:color w:val="auto"/>
          <w:sz w:val="32"/>
          <w:szCs w:val="32"/>
        </w:rPr>
        <w:t>第十</w:t>
      </w:r>
      <w:r>
        <w:rPr>
          <w:rFonts w:hint="eastAsia" w:ascii="仿宋_GB2312" w:hAnsi="仿宋_GB2312" w:cs="仿宋_GB2312"/>
          <w:b/>
          <w:bCs/>
          <w:color w:val="auto"/>
          <w:sz w:val="32"/>
          <w:szCs w:val="32"/>
          <w:lang w:eastAsia="zh-CN"/>
        </w:rPr>
        <w:t>九</w:t>
      </w:r>
      <w:r>
        <w:rPr>
          <w:rFonts w:hint="eastAsia" w:ascii="仿宋_GB2312" w:hAnsi="仿宋_GB2312" w:cs="仿宋_GB2312"/>
          <w:b/>
          <w:bCs/>
          <w:color w:val="auto"/>
          <w:sz w:val="32"/>
          <w:szCs w:val="32"/>
        </w:rPr>
        <w:t>条</w:t>
      </w:r>
      <w:r>
        <w:rPr>
          <w:rFonts w:hint="eastAsia" w:ascii="仿宋_GB2312" w:hAnsi="仿宋_GB2312" w:cs="仿宋_GB2312"/>
          <w:color w:val="auto"/>
          <w:sz w:val="32"/>
          <w:szCs w:val="32"/>
        </w:rPr>
        <w:t xml:space="preserve"> </w:t>
      </w:r>
      <w:r>
        <w:rPr>
          <w:rFonts w:hint="eastAsia" w:ascii="CESI仿宋-GB2312" w:hAnsi="CESI仿宋-GB2312" w:eastAsia="CESI仿宋-GB2312" w:cs="CESI仿宋-GB2312"/>
          <w:i w:val="0"/>
          <w:caps w:val="0"/>
          <w:color w:val="auto"/>
          <w:spacing w:val="0"/>
          <w:sz w:val="32"/>
          <w:szCs w:val="32"/>
        </w:rPr>
        <w:t>各级医疗保障行政部门、医疗保</w:t>
      </w:r>
      <w:r>
        <w:rPr>
          <w:rFonts w:hint="eastAsia" w:ascii="CESI仿宋-GB2312" w:hAnsi="CESI仿宋-GB2312" w:eastAsia="CESI仿宋-GB2312" w:cs="CESI仿宋-GB2312"/>
          <w:i w:val="0"/>
          <w:caps w:val="0"/>
          <w:color w:val="auto"/>
          <w:spacing w:val="0"/>
          <w:sz w:val="32"/>
          <w:szCs w:val="32"/>
          <w:lang w:eastAsia="zh-CN"/>
        </w:rPr>
        <w:t>障</w:t>
      </w:r>
      <w:r>
        <w:rPr>
          <w:rFonts w:hint="eastAsia" w:ascii="CESI仿宋-GB2312" w:hAnsi="CESI仿宋-GB2312" w:eastAsia="CESI仿宋-GB2312" w:cs="CESI仿宋-GB2312"/>
          <w:i w:val="0"/>
          <w:caps w:val="0"/>
          <w:color w:val="auto"/>
          <w:spacing w:val="0"/>
          <w:sz w:val="32"/>
          <w:szCs w:val="32"/>
        </w:rPr>
        <w:t>经办机构、定点医</w:t>
      </w:r>
      <w:r>
        <w:rPr>
          <w:rFonts w:hint="eastAsia" w:ascii="仿宋_GB2312" w:hAnsi="仿宋_GB2312" w:cs="仿宋_GB2312"/>
          <w:color w:val="auto"/>
          <w:sz w:val="32"/>
          <w:szCs w:val="32"/>
          <w:lang w:eastAsia="zh-CN"/>
        </w:rPr>
        <w:t>药</w:t>
      </w:r>
      <w:r>
        <w:rPr>
          <w:rFonts w:hint="eastAsia" w:ascii="CESI仿宋-GB2312" w:hAnsi="CESI仿宋-GB2312" w:eastAsia="CESI仿宋-GB2312" w:cs="CESI仿宋-GB2312"/>
          <w:i w:val="0"/>
          <w:caps w:val="0"/>
          <w:color w:val="auto"/>
          <w:spacing w:val="0"/>
          <w:sz w:val="32"/>
          <w:szCs w:val="32"/>
        </w:rPr>
        <w:t>机构及其工作人员、参保人员违反本办法规定的，依据</w:t>
      </w:r>
      <w:r>
        <w:rPr>
          <w:rFonts w:hint="eastAsia" w:ascii="CESI仿宋-GB2312" w:hAnsi="CESI仿宋-GB2312" w:eastAsia="CESI仿宋-GB2312" w:cs="CESI仿宋-GB2312"/>
          <w:i w:val="0"/>
          <w:caps w:val="0"/>
          <w:color w:val="auto"/>
          <w:spacing w:val="0"/>
          <w:sz w:val="32"/>
          <w:szCs w:val="32"/>
          <w:lang w:eastAsia="zh-CN"/>
        </w:rPr>
        <w:t>《中华人民共和国社会保险法》、</w:t>
      </w:r>
      <w:r>
        <w:rPr>
          <w:rFonts w:hint="eastAsia" w:ascii="CESI仿宋-GB2312" w:hAnsi="CESI仿宋-GB2312" w:eastAsia="CESI仿宋-GB2312" w:cs="CESI仿宋-GB2312"/>
          <w:i w:val="0"/>
          <w:caps w:val="0"/>
          <w:color w:val="auto"/>
          <w:spacing w:val="0"/>
          <w:sz w:val="32"/>
          <w:szCs w:val="32"/>
        </w:rPr>
        <w:t>《医疗保障基金使用监督管理条例》</w:t>
      </w:r>
      <w:r>
        <w:rPr>
          <w:rFonts w:hint="eastAsia" w:ascii="CESI仿宋-GB2312" w:hAnsi="CESI仿宋-GB2312" w:eastAsia="CESI仿宋-GB2312" w:cs="CESI仿宋-GB2312"/>
          <w:i w:val="0"/>
          <w:caps w:val="0"/>
          <w:color w:val="auto"/>
          <w:spacing w:val="0"/>
          <w:sz w:val="32"/>
          <w:szCs w:val="32"/>
          <w:lang w:eastAsia="zh-CN"/>
        </w:rPr>
        <w:t>，以及国家、我省的</w:t>
      </w:r>
      <w:r>
        <w:rPr>
          <w:rFonts w:hint="eastAsia" w:ascii="CESI仿宋-GB2312" w:hAnsi="CESI仿宋-GB2312" w:eastAsia="CESI仿宋-GB2312" w:cs="CESI仿宋-GB2312"/>
          <w:i w:val="0"/>
          <w:caps w:val="0"/>
          <w:color w:val="auto"/>
          <w:spacing w:val="0"/>
          <w:sz w:val="32"/>
          <w:szCs w:val="32"/>
        </w:rPr>
        <w:t>相关</w:t>
      </w:r>
      <w:r>
        <w:rPr>
          <w:rFonts w:hint="eastAsia" w:ascii="CESI仿宋-GB2312" w:hAnsi="CESI仿宋-GB2312" w:eastAsia="CESI仿宋-GB2312" w:cs="CESI仿宋-GB2312"/>
          <w:i w:val="0"/>
          <w:caps w:val="0"/>
          <w:color w:val="auto"/>
          <w:spacing w:val="0"/>
          <w:sz w:val="32"/>
          <w:szCs w:val="32"/>
          <w:lang w:eastAsia="zh-CN"/>
        </w:rPr>
        <w:t>法律、法规、规章和</w:t>
      </w:r>
      <w:r>
        <w:rPr>
          <w:rFonts w:hint="eastAsia" w:ascii="CESI仿宋-GB2312" w:hAnsi="CESI仿宋-GB2312" w:eastAsia="CESI仿宋-GB2312" w:cs="CESI仿宋-GB2312"/>
          <w:i w:val="0"/>
          <w:caps w:val="0"/>
          <w:color w:val="auto"/>
          <w:spacing w:val="0"/>
          <w:sz w:val="32"/>
          <w:szCs w:val="32"/>
        </w:rPr>
        <w:t>规定予以处理。</w:t>
      </w:r>
    </w:p>
    <w:p>
      <w:pPr>
        <w:numPr>
          <w:ilvl w:val="0"/>
          <w:numId w:val="0"/>
        </w:numPr>
        <w:spacing w:line="560" w:lineRule="exact"/>
        <w:ind w:leftChars="0"/>
        <w:jc w:val="center"/>
        <w:rPr>
          <w:rFonts w:hint="eastAsia" w:ascii="CESI黑体-GB2312" w:hAnsi="CESI黑体-GB2312" w:eastAsia="CESI黑体-GB2312" w:cs="CESI黑体-GB2312"/>
          <w:b w:val="0"/>
          <w:bCs w:val="0"/>
          <w:color w:val="auto"/>
          <w:sz w:val="32"/>
          <w:szCs w:val="32"/>
        </w:rPr>
      </w:pPr>
      <w:r>
        <w:rPr>
          <w:rFonts w:hint="eastAsia" w:ascii="CESI黑体-GB2312" w:hAnsi="CESI黑体-GB2312" w:eastAsia="CESI黑体-GB2312" w:cs="CESI黑体-GB2312"/>
          <w:b w:val="0"/>
          <w:bCs w:val="0"/>
          <w:color w:val="auto"/>
          <w:sz w:val="32"/>
          <w:szCs w:val="32"/>
          <w:lang w:eastAsia="zh-CN"/>
        </w:rPr>
        <w:t>第八章　</w:t>
      </w:r>
      <w:r>
        <w:rPr>
          <w:rFonts w:hint="eastAsia" w:ascii="CESI黑体-GB2312" w:hAnsi="CESI黑体-GB2312" w:eastAsia="CESI黑体-GB2312" w:cs="CESI黑体-GB2312"/>
          <w:b w:val="0"/>
          <w:bCs w:val="0"/>
          <w:color w:val="auto"/>
          <w:sz w:val="32"/>
          <w:szCs w:val="32"/>
        </w:rPr>
        <w:t>附则</w:t>
      </w:r>
    </w:p>
    <w:p>
      <w:pPr>
        <w:numPr>
          <w:ilvl w:val="0"/>
          <w:numId w:val="0"/>
        </w:numPr>
        <w:spacing w:line="560" w:lineRule="exact"/>
        <w:ind w:leftChars="0"/>
        <w:jc w:val="both"/>
        <w:rPr>
          <w:rFonts w:hint="eastAsia" w:ascii="仿宋_GB2312" w:hAnsi="仿宋" w:eastAsia="仿宋_GB2312" w:cs="宋体"/>
          <w:b/>
          <w:bCs/>
          <w:color w:val="auto"/>
          <w:sz w:val="32"/>
          <w:szCs w:val="32"/>
        </w:rPr>
      </w:pPr>
    </w:p>
    <w:p>
      <w:pPr>
        <w:spacing w:line="560" w:lineRule="exact"/>
        <w:ind w:firstLine="642"/>
        <w:rPr>
          <w:rFonts w:hint="eastAsia" w:ascii="仿宋_GB2312" w:hAnsi="仿宋" w:eastAsia="仿宋_GB2312" w:cs="仿宋_GB2312"/>
          <w:color w:val="auto"/>
          <w:sz w:val="32"/>
          <w:szCs w:val="32"/>
        </w:rPr>
      </w:pPr>
      <w:r>
        <w:rPr>
          <w:rFonts w:hint="eastAsia" w:ascii="仿宋_GB2312" w:hAnsi="仿宋_GB2312" w:cs="仿宋_GB2312"/>
          <w:b/>
          <w:bCs/>
          <w:color w:val="auto"/>
          <w:sz w:val="32"/>
          <w:szCs w:val="32"/>
        </w:rPr>
        <w:t>第二十条</w:t>
      </w:r>
      <w:r>
        <w:rPr>
          <w:rFonts w:hint="eastAsia" w:ascii="仿宋_GB2312" w:hAnsi="仿宋_GB2312" w:cs="仿宋_GB2312"/>
          <w:color w:val="auto"/>
          <w:sz w:val="32"/>
          <w:szCs w:val="32"/>
        </w:rPr>
        <w:t xml:space="preserve"> </w:t>
      </w:r>
      <w:r>
        <w:rPr>
          <w:rFonts w:hint="eastAsia" w:ascii="仿宋_GB2312" w:hAnsi="仿宋" w:eastAsia="仿宋_GB2312" w:cs="宋体"/>
          <w:b/>
          <w:bCs/>
          <w:color w:val="auto"/>
          <w:sz w:val="32"/>
          <w:szCs w:val="32"/>
        </w:rPr>
        <w:t xml:space="preserve"> </w:t>
      </w:r>
      <w:r>
        <w:rPr>
          <w:rFonts w:hint="eastAsia" w:ascii="仿宋_GB2312" w:hAnsi="仿宋" w:eastAsia="仿宋_GB2312" w:cs="仿宋_GB2312"/>
          <w:color w:val="auto"/>
          <w:sz w:val="32"/>
          <w:szCs w:val="32"/>
        </w:rPr>
        <w:t>本办法具体适用问题由省医疗保障行政部门负责解释。</w:t>
      </w:r>
    </w:p>
    <w:p>
      <w:pPr>
        <w:widowControl/>
        <w:shd w:val="clear" w:color="auto" w:fill="FFFFFF"/>
        <w:spacing w:line="560" w:lineRule="exact"/>
        <w:ind w:firstLine="643" w:firstLineChars="200"/>
        <w:jc w:val="left"/>
        <w:rPr>
          <w:rFonts w:hint="eastAsia" w:ascii="仿宋_GB2312" w:hAnsi="宋体" w:eastAsia="仿宋_GB2312" w:cs="仿宋_GB2312"/>
          <w:color w:val="auto"/>
          <w:kern w:val="0"/>
          <w:sz w:val="32"/>
          <w:szCs w:val="32"/>
        </w:rPr>
      </w:pPr>
      <w:r>
        <w:rPr>
          <w:rFonts w:hint="eastAsia" w:ascii="仿宋_GB2312" w:hAnsi="仿宋_GB2312" w:cs="仿宋_GB2312"/>
          <w:b/>
          <w:bCs/>
          <w:color w:val="auto"/>
          <w:sz w:val="32"/>
          <w:szCs w:val="32"/>
        </w:rPr>
        <w:t>第二十</w:t>
      </w:r>
      <w:r>
        <w:rPr>
          <w:rFonts w:hint="eastAsia" w:ascii="仿宋_GB2312" w:hAnsi="仿宋_GB2312" w:cs="仿宋_GB2312"/>
          <w:b/>
          <w:bCs/>
          <w:color w:val="auto"/>
          <w:sz w:val="32"/>
          <w:szCs w:val="32"/>
          <w:lang w:eastAsia="zh-CN"/>
        </w:rPr>
        <w:t>一</w:t>
      </w:r>
      <w:r>
        <w:rPr>
          <w:rFonts w:hint="eastAsia" w:ascii="仿宋_GB2312" w:hAnsi="仿宋_GB2312" w:cs="仿宋_GB2312"/>
          <w:b/>
          <w:bCs/>
          <w:color w:val="auto"/>
          <w:sz w:val="32"/>
          <w:szCs w:val="32"/>
        </w:rPr>
        <w:t>条</w:t>
      </w:r>
      <w:r>
        <w:rPr>
          <w:rFonts w:hint="eastAsia" w:ascii="仿宋_GB2312" w:hAnsi="仿宋_GB2312" w:cs="仿宋_GB2312"/>
          <w:color w:val="auto"/>
          <w:sz w:val="32"/>
          <w:szCs w:val="32"/>
        </w:rPr>
        <w:t xml:space="preserve"> </w:t>
      </w:r>
      <w:r>
        <w:rPr>
          <w:rFonts w:hint="eastAsia" w:ascii="仿宋_GB2312" w:hAnsi="仿宋" w:eastAsia="仿宋_GB2312" w:cs="宋体"/>
          <w:b/>
          <w:bCs/>
          <w:color w:val="auto"/>
          <w:sz w:val="32"/>
          <w:szCs w:val="32"/>
        </w:rPr>
        <w:t xml:space="preserve"> </w:t>
      </w:r>
      <w:r>
        <w:rPr>
          <w:rFonts w:hint="eastAsia" w:ascii="仿宋_GB2312" w:hAnsi="宋体" w:eastAsia="仿宋_GB2312" w:cs="仿宋_GB2312"/>
          <w:color w:val="auto"/>
          <w:kern w:val="0"/>
          <w:sz w:val="32"/>
          <w:szCs w:val="32"/>
        </w:rPr>
        <w:t>本办法自</w:t>
      </w:r>
      <w:r>
        <w:rPr>
          <w:rFonts w:hint="eastAsia" w:ascii="仿宋_GB2312" w:hAnsi="宋体" w:eastAsia="仿宋_GB2312" w:cs="仿宋_GB2312"/>
          <w:color w:val="auto"/>
          <w:kern w:val="0"/>
          <w:sz w:val="32"/>
          <w:szCs w:val="32"/>
          <w:lang w:eastAsia="zh-CN"/>
        </w:rPr>
        <w:t>２０２３</w:t>
      </w:r>
      <w:r>
        <w:rPr>
          <w:rFonts w:hint="eastAsia" w:ascii="仿宋_GB2312" w:hAnsi="宋体" w:eastAsia="仿宋_GB2312" w:cs="仿宋_GB2312"/>
          <w:color w:val="auto"/>
          <w:kern w:val="0"/>
          <w:sz w:val="32"/>
          <w:szCs w:val="32"/>
        </w:rPr>
        <w:t>年1月1日起施行，有效期</w:t>
      </w:r>
      <w:r>
        <w:rPr>
          <w:rFonts w:hint="eastAsia" w:ascii="仿宋_GB2312" w:hAnsi="宋体" w:eastAsia="仿宋_GB2312" w:cs="仿宋_GB2312"/>
          <w:color w:val="auto"/>
          <w:kern w:val="0"/>
          <w:sz w:val="32"/>
          <w:szCs w:val="32"/>
          <w:lang w:eastAsia="zh-CN"/>
        </w:rPr>
        <w:t>５</w:t>
      </w:r>
      <w:r>
        <w:rPr>
          <w:rFonts w:hint="eastAsia" w:ascii="仿宋_GB2312" w:hAnsi="宋体" w:eastAsia="仿宋_GB2312" w:cs="仿宋_GB2312"/>
          <w:color w:val="auto"/>
          <w:kern w:val="0"/>
          <w:sz w:val="32"/>
          <w:szCs w:val="32"/>
        </w:rPr>
        <w:t>年。</w:t>
      </w:r>
      <w:r>
        <w:rPr>
          <w:rFonts w:hint="eastAsia" w:ascii="仿宋_GB2312" w:hAnsi="宋体" w:eastAsia="仿宋_GB2312" w:cs="仿宋_GB2312"/>
          <w:color w:val="auto"/>
          <w:kern w:val="0"/>
          <w:sz w:val="32"/>
          <w:szCs w:val="32"/>
          <w:lang w:eastAsia="zh-CN"/>
        </w:rPr>
        <w:t>２０１９年</w:t>
      </w:r>
      <w:r>
        <w:rPr>
          <w:rFonts w:hint="eastAsia" w:ascii="仿宋_GB2312" w:hAnsi="宋体" w:cs="仿宋_GB2312"/>
          <w:color w:val="auto"/>
          <w:kern w:val="0"/>
          <w:sz w:val="32"/>
          <w:szCs w:val="32"/>
          <w:lang w:eastAsia="zh-CN"/>
        </w:rPr>
        <w:t>１２</w:t>
      </w:r>
      <w:r>
        <w:rPr>
          <w:rFonts w:hint="eastAsia" w:ascii="仿宋_GB2312" w:hAnsi="宋体" w:eastAsia="仿宋_GB2312" w:cs="仿宋_GB2312"/>
          <w:color w:val="auto"/>
          <w:kern w:val="0"/>
          <w:sz w:val="32"/>
          <w:szCs w:val="32"/>
          <w:lang w:eastAsia="zh-CN"/>
        </w:rPr>
        <w:t>月１８日印发的</w:t>
      </w:r>
      <w:r>
        <w:rPr>
          <w:rFonts w:hint="eastAsia" w:ascii="仿宋_GB2312" w:hAnsi="宋体" w:eastAsia="仿宋_GB2312" w:cs="仿宋_GB2312"/>
          <w:color w:val="auto"/>
          <w:kern w:val="0"/>
          <w:sz w:val="32"/>
          <w:szCs w:val="32"/>
        </w:rPr>
        <w:t>《海南省城乡居民</w:t>
      </w:r>
      <w:r>
        <w:rPr>
          <w:rFonts w:hint="eastAsia" w:ascii="仿宋_GB2312" w:hAnsi="宋体" w:eastAsia="仿宋_GB2312" w:cs="仿宋_GB2312"/>
          <w:color w:val="auto"/>
          <w:kern w:val="0"/>
          <w:sz w:val="32"/>
          <w:szCs w:val="32"/>
          <w:lang w:eastAsia="zh-CN"/>
        </w:rPr>
        <w:t>基本</w:t>
      </w:r>
      <w:r>
        <w:rPr>
          <w:rFonts w:hint="eastAsia" w:ascii="仿宋_GB2312" w:hAnsi="宋体" w:cs="仿宋_GB2312"/>
          <w:color w:val="auto"/>
          <w:kern w:val="0"/>
          <w:sz w:val="32"/>
          <w:szCs w:val="32"/>
          <w:lang w:eastAsia="zh-CN"/>
        </w:rPr>
        <w:t>医疗保险普通门诊统筹管理办法</w:t>
      </w:r>
      <w:r>
        <w:rPr>
          <w:rFonts w:hint="eastAsia" w:ascii="仿宋_GB2312" w:hAnsi="宋体" w:eastAsia="仿宋_GB2312" w:cs="仿宋_GB2312"/>
          <w:color w:val="auto"/>
          <w:kern w:val="0"/>
          <w:sz w:val="32"/>
          <w:szCs w:val="32"/>
        </w:rPr>
        <w:t>》（琼医保规〔2019〕</w:t>
      </w:r>
      <w:r>
        <w:rPr>
          <w:rFonts w:hint="eastAsia" w:ascii="仿宋_GB2312" w:hAnsi="宋体" w:cs="仿宋_GB2312"/>
          <w:color w:val="auto"/>
          <w:kern w:val="0"/>
          <w:sz w:val="32"/>
          <w:szCs w:val="32"/>
          <w:lang w:eastAsia="zh-CN"/>
        </w:rPr>
        <w:t>９</w:t>
      </w:r>
      <w:r>
        <w:rPr>
          <w:rFonts w:hint="eastAsia" w:ascii="仿宋_GB2312" w:hAnsi="宋体" w:eastAsia="仿宋_GB2312" w:cs="仿宋_GB2312"/>
          <w:color w:val="auto"/>
          <w:kern w:val="0"/>
          <w:sz w:val="32"/>
          <w:szCs w:val="32"/>
        </w:rPr>
        <w:t>号）同时废止。</w:t>
      </w:r>
    </w:p>
    <w:p>
      <w:pPr>
        <w:pStyle w:val="2"/>
        <w:rPr>
          <w:rFonts w:hint="eastAsia"/>
          <w:color w:val="auto"/>
        </w:rPr>
      </w:pPr>
    </w:p>
    <w:p>
      <w:pPr>
        <w:spacing w:line="560" w:lineRule="exact"/>
        <w:rPr>
          <w:rFonts w:ascii="仿宋_GB2312" w:hAnsi="仿宋_GB2312" w:cs="仿宋_GB2312"/>
          <w:color w:val="auto"/>
        </w:rPr>
      </w:pPr>
    </w:p>
    <w:p>
      <w:pPr>
        <w:spacing w:line="560" w:lineRule="exact"/>
        <w:rPr>
          <w:rFonts w:ascii="仿宋_GB2312" w:hAnsi="仿宋_GB2312" w:cs="仿宋_GB2312"/>
          <w:color w:val="auto"/>
        </w:rPr>
      </w:pPr>
    </w:p>
    <w:p>
      <w:pPr>
        <w:spacing w:line="560" w:lineRule="exact"/>
        <w:ind w:firstLine="640" w:firstLineChars="200"/>
        <w:rPr>
          <w:rFonts w:ascii="仿宋_GB2312" w:hAnsi="仿宋_GB2312" w:cs="仿宋_GB2312"/>
          <w:color w:val="auto"/>
        </w:rPr>
      </w:pPr>
    </w:p>
    <w:p>
      <w:pPr>
        <w:spacing w:line="560" w:lineRule="exact"/>
        <w:ind w:firstLine="640" w:firstLineChars="200"/>
        <w:rPr>
          <w:rFonts w:ascii="仿宋_GB2312" w:hAnsi="仿宋_GB2312" w:cs="仿宋_GB2312"/>
          <w:color w:val="auto"/>
        </w:rPr>
      </w:pPr>
    </w:p>
    <w:p>
      <w:pPr>
        <w:rPr>
          <w:color w:val="auto"/>
        </w:rPr>
      </w:pPr>
    </w:p>
    <w:p>
      <w:pPr>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2000000000000000000"/>
    <w:charset w:val="86"/>
    <w:family w:val="auto"/>
    <w:pitch w:val="default"/>
    <w:sig w:usb0="00000001" w:usb1="0800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CESI黑体-GB2312">
    <w:altName w:val="黑体"/>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2C029"/>
    <w:multiLevelType w:val="singleLevel"/>
    <w:tmpl w:val="FBF2C029"/>
    <w:lvl w:ilvl="0" w:tentative="0">
      <w:start w:val="3"/>
      <w:numFmt w:val="chineseCounting"/>
      <w:suff w:val="space"/>
      <w:lvlText w:val="第%1章"/>
      <w:lvlJc w:val="left"/>
      <w:rPr>
        <w:rFonts w:hint="eastAsia"/>
      </w:rPr>
    </w:lvl>
  </w:abstractNum>
  <w:abstractNum w:abstractNumId="1">
    <w:nsid w:val="5DF82A51"/>
    <w:multiLevelType w:val="singleLevel"/>
    <w:tmpl w:val="5DF82A51"/>
    <w:lvl w:ilvl="0" w:tentative="0">
      <w:start w:val="1"/>
      <w:numFmt w:val="chineseCounting"/>
      <w:suff w:val="nothing"/>
      <w:lvlText w:val="（%1）"/>
      <w:lvlJc w:val="left"/>
      <w:pPr>
        <w:ind w:left="0" w:firstLine="420"/>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66CF"/>
    <w:rsid w:val="1FF7FED4"/>
    <w:rsid w:val="2B546894"/>
    <w:rsid w:val="3AE82EEB"/>
    <w:rsid w:val="3FFC958C"/>
    <w:rsid w:val="4E662A7B"/>
    <w:rsid w:val="5A1DFC4E"/>
    <w:rsid w:val="5BDF66CF"/>
    <w:rsid w:val="63FF7151"/>
    <w:rsid w:val="6BAFD350"/>
    <w:rsid w:val="7BF3D937"/>
    <w:rsid w:val="7FEDF002"/>
    <w:rsid w:val="BCAF3875"/>
    <w:rsid w:val="BD57197F"/>
    <w:rsid w:val="CFBF8FEE"/>
    <w:rsid w:val="F5278A56"/>
    <w:rsid w:val="F7DEBD23"/>
    <w:rsid w:val="FA7CBEE9"/>
    <w:rsid w:val="FBF7A824"/>
    <w:rsid w:val="FFF72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p0"/>
    <w:basedOn w:val="1"/>
    <w:qFormat/>
    <w:uiPriority w:val="0"/>
    <w:pPr>
      <w:widowControl/>
    </w:pPr>
    <w:rPr>
      <w:rFonts w:eastAsia="宋体" w:cs="Calibri"/>
      <w:kern w:val="0"/>
      <w:sz w:val="21"/>
      <w:szCs w:val="21"/>
    </w:rPr>
  </w:style>
  <w:style w:type="paragraph" w:customStyle="1" w:styleId="8">
    <w:name w:val="p15"/>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2331</Words>
  <Characters>2356</Characters>
  <Lines>0</Lines>
  <Paragraphs>0</Paragraphs>
  <TotalTime>7.33333333333333</TotalTime>
  <ScaleCrop>false</ScaleCrop>
  <LinksUpToDate>false</LinksUpToDate>
  <CharactersWithSpaces>2405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2022-10-13T08:15:00Z</dcterms:created>
  <dc:creator>greatwall</dc:creator>
  <cp:lastModifiedBy>o╭菥米︷雯</cp:lastModifiedBy>
  <cp:lastPrinted>2022-10-31T15:06:50Z</cp:lastPrinted>
  <dcterms:modified xsi:type="dcterms:W3CDTF">2022-11-08T08:11:13Z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C1282C27A8A24E8BB17CC9C9114412EA</vt:lpwstr>
  </property>
</Properties>
</file>